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imes New Roman" w:hAnsi="Times New Roman"/>
          <w:b/>
          <w:sz w:val="32"/>
          <w:szCs w:val="32"/>
          <w:lang w:val="en-US" w:eastAsia="zh-CN"/>
        </w:rPr>
      </w:pPr>
      <w:r>
        <w:rPr>
          <w:rFonts w:hint="eastAsia" w:ascii="Times New Roman" w:hAnsi="Times New Roman"/>
          <w:b/>
          <w:sz w:val="32"/>
          <w:szCs w:val="32"/>
          <w:lang w:val="en-US" w:eastAsia="zh-CN"/>
        </w:rPr>
        <w:t>青岛特钢焦化厂2023年第四季度零星土建项目</w:t>
      </w:r>
    </w:p>
    <w:p>
      <w:pPr>
        <w:spacing w:line="440" w:lineRule="exact"/>
        <w:jc w:val="center"/>
        <w:rPr>
          <w:rFonts w:ascii="Times New Roman" w:hAnsi="Times New Roman"/>
          <w:b/>
          <w:sz w:val="32"/>
          <w:szCs w:val="32"/>
        </w:rPr>
      </w:pPr>
      <w:r>
        <w:rPr>
          <w:rFonts w:hint="eastAsia" w:ascii="Times New Roman" w:hAnsi="Times New Roman"/>
          <w:b/>
          <w:sz w:val="32"/>
          <w:szCs w:val="32"/>
        </w:rPr>
        <w:t>技术协议</w:t>
      </w:r>
    </w:p>
    <w:p>
      <w:pPr>
        <w:spacing w:line="440" w:lineRule="exact"/>
        <w:jc w:val="center"/>
        <w:rPr>
          <w:rFonts w:ascii="Times New Roman" w:hAnsi="Times New Roman"/>
          <w:b/>
          <w:sz w:val="24"/>
        </w:rPr>
      </w:pPr>
    </w:p>
    <w:p>
      <w:pPr>
        <w:spacing w:line="360" w:lineRule="auto"/>
        <w:ind w:firstLine="480"/>
        <w:rPr>
          <w:rFonts w:ascii="宋体" w:hAnsi="宋体"/>
          <w:sz w:val="24"/>
          <w:u w:val="single"/>
        </w:rPr>
      </w:pPr>
      <w:r>
        <w:rPr>
          <w:rFonts w:hint="eastAsia" w:ascii="宋体" w:hAnsi="宋体"/>
          <w:sz w:val="24"/>
          <w:u w:val="single"/>
        </w:rPr>
        <w:t>招标</w:t>
      </w:r>
      <w:r>
        <w:rPr>
          <w:rFonts w:ascii="宋体" w:hAnsi="宋体"/>
          <w:sz w:val="24"/>
          <w:u w:val="single"/>
        </w:rPr>
        <w:t>人（全称）：青岛特殊钢铁有限公司</w:t>
      </w:r>
    </w:p>
    <w:p>
      <w:pPr>
        <w:spacing w:line="360" w:lineRule="auto"/>
        <w:ind w:firstLine="480"/>
        <w:rPr>
          <w:rFonts w:ascii="宋体" w:hAnsi="宋体"/>
          <w:sz w:val="24"/>
          <w:u w:val="single"/>
        </w:rPr>
      </w:pPr>
      <w:r>
        <w:rPr>
          <w:rFonts w:ascii="宋体" w:hAnsi="宋体"/>
          <w:sz w:val="24"/>
          <w:u w:val="single"/>
        </w:rPr>
        <w:t xml:space="preserve">法定代表人：   </w:t>
      </w:r>
      <w:r>
        <w:rPr>
          <w:rFonts w:hint="eastAsia" w:ascii="宋体" w:hAnsi="宋体"/>
          <w:sz w:val="24"/>
          <w:u w:val="single"/>
          <w:lang w:val="en-US" w:eastAsia="zh-CN"/>
        </w:rPr>
        <w:t>孙广亿</w:t>
      </w:r>
      <w:r>
        <w:rPr>
          <w:rFonts w:ascii="宋体" w:hAnsi="宋体"/>
          <w:sz w:val="24"/>
          <w:u w:val="single"/>
        </w:rPr>
        <w:t xml:space="preserve">      </w:t>
      </w:r>
    </w:p>
    <w:p>
      <w:pPr>
        <w:spacing w:line="360" w:lineRule="auto"/>
        <w:ind w:firstLine="480"/>
        <w:rPr>
          <w:rFonts w:ascii="宋体" w:hAnsi="宋体"/>
          <w:sz w:val="24"/>
          <w:u w:val="single"/>
        </w:rPr>
      </w:pPr>
      <w:r>
        <w:rPr>
          <w:rFonts w:ascii="宋体" w:hAnsi="宋体"/>
          <w:sz w:val="24"/>
          <w:u w:val="single"/>
        </w:rPr>
        <w:t>住所地：</w:t>
      </w:r>
      <w:r>
        <w:rPr>
          <w:rFonts w:hint="eastAsia" w:ascii="宋体" w:hAnsi="宋体"/>
          <w:sz w:val="24"/>
          <w:u w:val="single"/>
        </w:rPr>
        <w:t>山东省青岛市黄岛区泊里镇集成路1886号</w:t>
      </w:r>
    </w:p>
    <w:p>
      <w:pPr>
        <w:spacing w:line="360" w:lineRule="auto"/>
        <w:ind w:firstLine="480"/>
        <w:rPr>
          <w:rFonts w:ascii="宋体" w:hAnsi="宋体"/>
          <w:sz w:val="24"/>
          <w:u w:val="single"/>
        </w:rPr>
      </w:pPr>
      <w:r>
        <w:rPr>
          <w:rFonts w:hint="eastAsia" w:ascii="宋体" w:hAnsi="宋体"/>
          <w:sz w:val="24"/>
          <w:u w:val="single"/>
        </w:rPr>
        <w:t>投标</w:t>
      </w:r>
      <w:r>
        <w:rPr>
          <w:rFonts w:ascii="宋体" w:hAnsi="宋体"/>
          <w:sz w:val="24"/>
          <w:u w:val="single"/>
        </w:rPr>
        <w:t>人（全称）：</w:t>
      </w:r>
      <w:r>
        <w:rPr>
          <w:rFonts w:hint="eastAsia" w:ascii="宋体" w:hAnsi="宋体"/>
          <w:sz w:val="24"/>
          <w:u w:val="single"/>
        </w:rPr>
        <w:t xml:space="preserve">              </w:t>
      </w:r>
      <w:r>
        <w:rPr>
          <w:rFonts w:ascii="宋体" w:hAnsi="宋体"/>
          <w:sz w:val="24"/>
          <w:u w:val="single"/>
        </w:rPr>
        <w:t xml:space="preserve">     </w:t>
      </w:r>
    </w:p>
    <w:p>
      <w:pPr>
        <w:spacing w:line="360" w:lineRule="auto"/>
        <w:ind w:firstLine="480"/>
        <w:rPr>
          <w:rFonts w:ascii="宋体" w:hAnsi="宋体"/>
          <w:sz w:val="24"/>
          <w:u w:val="single"/>
        </w:rPr>
      </w:pPr>
      <w:r>
        <w:rPr>
          <w:rFonts w:ascii="宋体" w:hAnsi="宋体"/>
          <w:sz w:val="24"/>
          <w:u w:val="single"/>
        </w:rPr>
        <w:t xml:space="preserve">法定代表人：                       </w:t>
      </w:r>
    </w:p>
    <w:p>
      <w:pPr>
        <w:spacing w:line="360" w:lineRule="auto"/>
        <w:ind w:firstLine="480"/>
        <w:rPr>
          <w:rFonts w:ascii="宋体" w:hAnsi="宋体"/>
          <w:sz w:val="24"/>
          <w:u w:val="single"/>
        </w:rPr>
      </w:pPr>
      <w:r>
        <w:rPr>
          <w:rFonts w:ascii="宋体" w:hAnsi="宋体"/>
          <w:sz w:val="24"/>
          <w:u w:val="single"/>
        </w:rPr>
        <w:t xml:space="preserve">住所地                             </w:t>
      </w:r>
    </w:p>
    <w:p>
      <w:pPr>
        <w:spacing w:line="440" w:lineRule="exact"/>
        <w:ind w:firstLine="600" w:firstLineChars="250"/>
      </w:pPr>
      <w:r>
        <w:rPr>
          <w:rFonts w:hint="eastAsia" w:ascii="宋体" w:hAnsi="宋体"/>
          <w:sz w:val="24"/>
        </w:rPr>
        <w:t>招标人、投标人双方就</w:t>
      </w:r>
      <w:r>
        <w:rPr>
          <w:rFonts w:hint="eastAsia" w:ascii="宋体" w:hAnsi="宋体"/>
          <w:sz w:val="24"/>
          <w:u w:val="single"/>
          <w:lang w:val="en-US" w:eastAsia="zh-CN"/>
        </w:rPr>
        <w:t>青岛特钢焦化厂2023年第四季度零星土建项目</w:t>
      </w:r>
      <w:r>
        <w:rPr>
          <w:rFonts w:hint="eastAsia" w:ascii="宋体" w:hAnsi="宋体"/>
          <w:sz w:val="24"/>
        </w:rPr>
        <w:t>的技术要求、质量要求、施工要求等事宜进行认真讨论，经友好协商，取得一致意见，达成如下协议条款：</w:t>
      </w:r>
    </w:p>
    <w:p>
      <w:pPr>
        <w:spacing w:line="440" w:lineRule="exact"/>
        <w:jc w:val="left"/>
        <w:rPr>
          <w:rFonts w:hint="eastAsia" w:ascii="宋体" w:hAnsi="宋体"/>
          <w:b/>
          <w:sz w:val="24"/>
        </w:rPr>
      </w:pPr>
    </w:p>
    <w:p>
      <w:pPr>
        <w:spacing w:line="440" w:lineRule="exact"/>
        <w:jc w:val="left"/>
        <w:rPr>
          <w:rFonts w:ascii="宋体" w:hAnsi="宋体"/>
          <w:b/>
          <w:sz w:val="24"/>
        </w:rPr>
      </w:pPr>
      <w:r>
        <w:rPr>
          <w:rFonts w:hint="eastAsia" w:ascii="宋体" w:hAnsi="宋体"/>
          <w:b/>
          <w:sz w:val="24"/>
        </w:rPr>
        <w:t>一、项目概况</w:t>
      </w:r>
    </w:p>
    <w:p>
      <w:pPr>
        <w:tabs>
          <w:tab w:val="left" w:pos="900"/>
        </w:tabs>
        <w:spacing w:line="360" w:lineRule="auto"/>
        <w:ind w:left="420" w:firstLine="120" w:firstLineChars="50"/>
        <w:rPr>
          <w:rFonts w:hint="eastAsia" w:ascii="宋体" w:hAnsi="宋体"/>
          <w:kern w:val="0"/>
          <w:sz w:val="24"/>
          <w:u w:val="single"/>
          <w:lang w:val="en-US" w:eastAsia="zh-CN"/>
        </w:rPr>
      </w:pPr>
      <w:bookmarkStart w:id="0" w:name="_Toc499711417"/>
      <w:r>
        <w:rPr>
          <w:rFonts w:hint="eastAsia" w:ascii="宋体" w:hAnsi="宋体"/>
          <w:kern w:val="0"/>
          <w:sz w:val="24"/>
        </w:rPr>
        <w:t>项目名称：</w:t>
      </w:r>
      <w:r>
        <w:rPr>
          <w:rFonts w:hint="eastAsia" w:ascii="宋体" w:hAnsi="宋体"/>
          <w:sz w:val="24"/>
          <w:u w:val="single"/>
          <w:lang w:val="en-US" w:eastAsia="zh-CN"/>
        </w:rPr>
        <w:t>青岛特钢焦化厂2023年第四季度零星土建项目</w:t>
      </w:r>
    </w:p>
    <w:p>
      <w:pPr>
        <w:tabs>
          <w:tab w:val="left" w:pos="900"/>
        </w:tabs>
        <w:spacing w:line="360" w:lineRule="auto"/>
        <w:ind w:left="420" w:firstLine="120" w:firstLineChars="50"/>
        <w:rPr>
          <w:rFonts w:ascii="宋体" w:hAnsi="宋体"/>
          <w:kern w:val="0"/>
          <w:sz w:val="24"/>
          <w:u w:val="single"/>
        </w:rPr>
      </w:pPr>
      <w:r>
        <w:rPr>
          <w:rFonts w:hint="eastAsia" w:ascii="宋体" w:hAnsi="宋体"/>
          <w:kern w:val="0"/>
          <w:sz w:val="24"/>
        </w:rPr>
        <w:t>工程地点：</w:t>
      </w:r>
      <w:r>
        <w:rPr>
          <w:rFonts w:hint="eastAsia" w:ascii="宋体" w:hAnsi="宋体"/>
          <w:kern w:val="0"/>
          <w:sz w:val="24"/>
          <w:u w:val="single"/>
        </w:rPr>
        <w:t>山东省青岛市黄岛区泊里镇集成路1886号</w:t>
      </w:r>
    </w:p>
    <w:p>
      <w:pPr>
        <w:tabs>
          <w:tab w:val="left" w:pos="900"/>
        </w:tabs>
        <w:spacing w:line="360" w:lineRule="auto"/>
        <w:ind w:firstLine="480" w:firstLineChars="200"/>
        <w:rPr>
          <w:rFonts w:ascii="宋体" w:hAnsi="宋体"/>
          <w:kern w:val="0"/>
          <w:sz w:val="24"/>
        </w:rPr>
      </w:pPr>
      <w:r>
        <w:rPr>
          <w:rFonts w:hint="eastAsia" w:ascii="宋体" w:hAnsi="宋体"/>
          <w:kern w:val="0"/>
          <w:sz w:val="24"/>
        </w:rPr>
        <w:t>工程范围：</w:t>
      </w:r>
      <w:bookmarkEnd w:id="0"/>
    </w:p>
    <w:p>
      <w:pPr>
        <w:numPr>
          <w:ilvl w:val="0"/>
          <w:numId w:val="1"/>
        </w:numPr>
        <w:spacing w:line="360" w:lineRule="auto"/>
        <w:ind w:firstLine="480" w:firstLineChars="200"/>
        <w:jc w:val="left"/>
        <w:rPr>
          <w:rFonts w:ascii="宋体" w:hAnsi="宋体"/>
          <w:sz w:val="24"/>
        </w:rPr>
      </w:pPr>
      <w:r>
        <w:rPr>
          <w:rFonts w:hint="eastAsia" w:ascii="宋体" w:hAnsi="宋体"/>
          <w:sz w:val="24"/>
          <w:lang w:val="en-US" w:eastAsia="zh-CN"/>
        </w:rPr>
        <w:t>青岛特钢焦化厂2023年第四季度零星土建项目中的所有相关工程，最终达到使用要求。</w:t>
      </w:r>
    </w:p>
    <w:p>
      <w:pPr>
        <w:numPr>
          <w:ilvl w:val="0"/>
          <w:numId w:val="0"/>
        </w:numPr>
        <w:spacing w:line="360" w:lineRule="auto"/>
        <w:ind w:firstLine="480" w:firstLineChars="200"/>
        <w:jc w:val="left"/>
        <w:rPr>
          <w:rFonts w:ascii="宋体" w:hAnsi="宋体"/>
          <w:sz w:val="24"/>
        </w:rPr>
      </w:pPr>
      <w:r>
        <w:rPr>
          <w:rFonts w:hint="eastAsia" w:ascii="宋体" w:hAnsi="宋体"/>
          <w:sz w:val="24"/>
        </w:rPr>
        <w:t>2、本工程承包方式为</w:t>
      </w:r>
      <w:r>
        <w:rPr>
          <w:rFonts w:hint="eastAsia" w:ascii="宋体" w:hAnsi="宋体"/>
          <w:sz w:val="24"/>
          <w:lang w:val="en-US" w:eastAsia="zh-CN"/>
        </w:rPr>
        <w:t>清单内项目</w:t>
      </w:r>
      <w:r>
        <w:rPr>
          <w:rFonts w:hint="eastAsia" w:ascii="宋体" w:hAnsi="宋体"/>
          <w:sz w:val="24"/>
        </w:rPr>
        <w:t>固定</w:t>
      </w:r>
      <w:r>
        <w:rPr>
          <w:rFonts w:hint="eastAsia" w:ascii="宋体" w:hAnsi="宋体"/>
          <w:sz w:val="24"/>
          <w:lang w:val="en-US" w:eastAsia="zh-CN"/>
        </w:rPr>
        <w:t>总价+清单外项目定额让利</w:t>
      </w:r>
      <w:r>
        <w:rPr>
          <w:rFonts w:hint="eastAsia" w:ascii="宋体" w:hAnsi="宋体"/>
          <w:sz w:val="24"/>
        </w:rPr>
        <w:t>。投标方须联系招标方自行勘察现场并测算实际工程量，</w:t>
      </w:r>
      <w:r>
        <w:rPr>
          <w:rFonts w:hint="eastAsia" w:ascii="宋体" w:hAnsi="宋体"/>
          <w:sz w:val="24"/>
          <w:lang w:val="en-US" w:eastAsia="zh-CN"/>
        </w:rPr>
        <w:t>除甲供材外所有</w:t>
      </w:r>
      <w:r>
        <w:rPr>
          <w:rFonts w:hint="eastAsia" w:ascii="宋体" w:hAnsi="宋体"/>
          <w:sz w:val="24"/>
        </w:rPr>
        <w:t>材料均有乙方负责，(包材料机械设备及工器具</w:t>
      </w:r>
      <w:r>
        <w:rPr>
          <w:rFonts w:hint="eastAsia" w:ascii="宋体" w:hAnsi="宋体"/>
          <w:sz w:val="24"/>
          <w:lang w:eastAsia="zh-CN"/>
        </w:rPr>
        <w:t>、</w:t>
      </w:r>
      <w:r>
        <w:rPr>
          <w:rFonts w:hint="eastAsia" w:ascii="宋体" w:hAnsi="宋体"/>
          <w:sz w:val="24"/>
        </w:rPr>
        <w:t>包质量、包工期、包验收合格、包安全文明施工、包现场垃圾清运等)</w:t>
      </w:r>
    </w:p>
    <w:p>
      <w:pPr>
        <w:tabs>
          <w:tab w:val="left" w:pos="900"/>
        </w:tabs>
        <w:spacing w:line="360" w:lineRule="auto"/>
        <w:ind w:firstLine="480" w:firstLineChars="200"/>
        <w:jc w:val="left"/>
        <w:rPr>
          <w:rFonts w:ascii="宋体" w:hAnsi="宋体"/>
          <w:kern w:val="0"/>
          <w:sz w:val="24"/>
        </w:rPr>
      </w:pPr>
      <w:r>
        <w:rPr>
          <w:rFonts w:hint="eastAsia" w:ascii="宋体" w:hAnsi="宋体"/>
          <w:sz w:val="24"/>
        </w:rPr>
        <w:t>3、工程</w:t>
      </w:r>
      <w:r>
        <w:rPr>
          <w:rFonts w:hint="eastAsia" w:ascii="宋体" w:hAnsi="宋体"/>
          <w:kern w:val="0"/>
          <w:sz w:val="24"/>
        </w:rPr>
        <w:t>验收达标、工程保修等与之有关的工程施工。</w:t>
      </w:r>
    </w:p>
    <w:p>
      <w:pPr>
        <w:spacing w:line="360" w:lineRule="auto"/>
        <w:ind w:firstLine="480" w:firstLineChars="200"/>
        <w:rPr>
          <w:rFonts w:hint="eastAsia" w:ascii="宋体" w:hAnsi="宋体" w:cs="宋体"/>
          <w:sz w:val="24"/>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cs="宋体"/>
          <w:sz w:val="24"/>
        </w:rPr>
        <w:t>计划工期：</w:t>
      </w:r>
      <w:r>
        <w:rPr>
          <w:rFonts w:hint="eastAsia" w:ascii="宋体" w:hAnsi="宋体" w:cs="宋体"/>
          <w:sz w:val="24"/>
          <w:lang w:val="en-US" w:eastAsia="zh-CN"/>
        </w:rPr>
        <w:t>90</w:t>
      </w:r>
      <w:r>
        <w:rPr>
          <w:rFonts w:hint="eastAsia" w:ascii="宋体" w:hAnsi="宋体" w:cs="宋体"/>
          <w:sz w:val="24"/>
        </w:rPr>
        <w:t>日历天。（具体以发包人下发的开工令为准）</w:t>
      </w:r>
    </w:p>
    <w:p>
      <w:pPr>
        <w:rPr>
          <w:rFonts w:hint="eastAsia"/>
          <w:lang w:val="en-US" w:eastAsia="zh-CN"/>
        </w:rPr>
      </w:pPr>
    </w:p>
    <w:p>
      <w:pPr>
        <w:spacing w:line="440" w:lineRule="exact"/>
        <w:jc w:val="left"/>
        <w:rPr>
          <w:rFonts w:ascii="宋体" w:hAnsi="宋体"/>
          <w:b/>
          <w:sz w:val="24"/>
        </w:rPr>
      </w:pPr>
      <w:r>
        <w:rPr>
          <w:rFonts w:hint="eastAsia" w:ascii="宋体" w:hAnsi="宋体"/>
          <w:b/>
          <w:sz w:val="24"/>
        </w:rPr>
        <w:t>二、规范及要求：</w:t>
      </w:r>
    </w:p>
    <w:p>
      <w:pPr>
        <w:spacing w:line="360" w:lineRule="auto"/>
        <w:ind w:firstLine="480" w:firstLineChars="200"/>
        <w:jc w:val="left"/>
        <w:rPr>
          <w:rFonts w:ascii="宋体" w:hAnsi="宋体" w:cs="宋体"/>
          <w:position w:val="-2"/>
          <w:sz w:val="24"/>
        </w:rPr>
      </w:pPr>
      <w:r>
        <w:rPr>
          <w:rFonts w:hint="eastAsia" w:ascii="宋体" w:hAnsi="宋体"/>
          <w:sz w:val="24"/>
        </w:rPr>
        <w:t>1、本工程施工需</w:t>
      </w:r>
      <w:r>
        <w:rPr>
          <w:rFonts w:hint="eastAsia" w:ascii="宋体" w:hAnsi="宋体" w:cs="宋体"/>
          <w:position w:val="-2"/>
          <w:sz w:val="24"/>
        </w:rPr>
        <w:t>达到现行中华人民共和国以及省行业的工程建设标准、规范的要求。国家与行业都有规定的，以标准高的执行；国家与行业没有相关标准与规范时，执行山东省青岛市相关的标准、规范。</w:t>
      </w:r>
    </w:p>
    <w:p>
      <w:pPr>
        <w:tabs>
          <w:tab w:val="left" w:pos="900"/>
        </w:tabs>
        <w:spacing w:line="360" w:lineRule="auto"/>
        <w:ind w:firstLine="480" w:firstLineChars="200"/>
        <w:jc w:val="left"/>
        <w:rPr>
          <w:rFonts w:hint="eastAsia" w:ascii="宋体" w:hAnsi="宋体"/>
          <w:sz w:val="24"/>
        </w:rPr>
      </w:pPr>
    </w:p>
    <w:p>
      <w:pPr>
        <w:tabs>
          <w:tab w:val="left" w:pos="900"/>
        </w:tabs>
        <w:spacing w:line="360" w:lineRule="auto"/>
        <w:ind w:firstLine="480" w:firstLineChars="200"/>
        <w:jc w:val="left"/>
        <w:rPr>
          <w:rFonts w:ascii="宋体" w:hAnsi="宋体"/>
          <w:sz w:val="24"/>
        </w:rPr>
      </w:pPr>
      <w:r>
        <w:rPr>
          <w:rFonts w:hint="eastAsia" w:ascii="宋体" w:hAnsi="宋体"/>
          <w:sz w:val="24"/>
        </w:rPr>
        <w:t>2、技术协议作为施工验收标准之一，各项参数严格按照技术要求执行。</w:t>
      </w:r>
    </w:p>
    <w:p>
      <w:pPr>
        <w:spacing w:line="360" w:lineRule="auto"/>
        <w:ind w:firstLine="480" w:firstLineChars="200"/>
        <w:jc w:val="left"/>
        <w:rPr>
          <w:rFonts w:hint="eastAsia" w:ascii="宋体" w:hAnsi="宋体" w:cs="宋体"/>
          <w:position w:val="-2"/>
          <w:sz w:val="24"/>
        </w:rPr>
      </w:pPr>
      <w:r>
        <w:rPr>
          <w:rFonts w:hint="eastAsia" w:ascii="宋体" w:hAnsi="宋体" w:cs="宋体"/>
          <w:position w:val="-2"/>
          <w:sz w:val="24"/>
        </w:rPr>
        <w:t>3、满足《青特钢工程项目统一技术规定》的要求。</w:t>
      </w:r>
    </w:p>
    <w:p>
      <w:pPr>
        <w:spacing w:line="360" w:lineRule="auto"/>
        <w:ind w:firstLine="480" w:firstLineChars="200"/>
        <w:jc w:val="left"/>
        <w:rPr>
          <w:rFonts w:ascii="宋体" w:hAnsi="宋体" w:cs="宋体"/>
          <w:position w:val="-2"/>
          <w:sz w:val="24"/>
        </w:rPr>
      </w:pPr>
      <w:r>
        <w:rPr>
          <w:rFonts w:hint="eastAsia" w:ascii="宋体" w:hAnsi="宋体" w:cs="宋体"/>
          <w:position w:val="-2"/>
          <w:sz w:val="24"/>
        </w:rPr>
        <w:t>4、如相关施工及验收规范、质量检验评定标准推行最新版本，则按最新版本为准。</w:t>
      </w:r>
    </w:p>
    <w:p>
      <w:pPr>
        <w:spacing w:line="360" w:lineRule="auto"/>
        <w:ind w:firstLine="480" w:firstLineChars="200"/>
        <w:jc w:val="left"/>
        <w:rPr>
          <w:rFonts w:ascii="宋体" w:hAnsi="宋体"/>
          <w:sz w:val="24"/>
        </w:rPr>
      </w:pPr>
      <w:r>
        <w:rPr>
          <w:rFonts w:hint="eastAsia" w:ascii="宋体" w:hAnsi="宋体" w:cs="宋体"/>
          <w:position w:val="-2"/>
          <w:sz w:val="24"/>
        </w:rPr>
        <w:t>5、材料要有出厂合格证、检验报告，其种类、颜色、性能及技术指标</w:t>
      </w:r>
      <w:r>
        <w:rPr>
          <w:rFonts w:hint="eastAsia" w:ascii="宋体" w:hAnsi="宋体"/>
          <w:sz w:val="24"/>
        </w:rPr>
        <w:t>应满足甲方要求和有关规范规定的质量标准。</w:t>
      </w:r>
    </w:p>
    <w:p>
      <w:pPr>
        <w:spacing w:line="360" w:lineRule="auto"/>
        <w:ind w:firstLine="480" w:firstLineChars="200"/>
        <w:jc w:val="left"/>
        <w:rPr>
          <w:rFonts w:ascii="宋体" w:hAnsi="宋体"/>
          <w:sz w:val="24"/>
        </w:rPr>
      </w:pPr>
      <w:r>
        <w:rPr>
          <w:rFonts w:hint="eastAsia" w:ascii="宋体" w:hAnsi="宋体"/>
          <w:sz w:val="24"/>
        </w:rPr>
        <w:t>6、材料进场后需甲方验收合格、所有涂料需在甲方监督下复检合格后，方可使用，复检费用由乙方负担。所有不合格材料一律退出厂外，所发生的一切费用及损失由乙自行负担，甲方概不负责。</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7、施工后的杂物乙方负责处理回收，施工产生的危险废弃物必须遵守青特钢相关规定制度，由青特钢统一安排有资质的厂家做无害化处理，费用由乙方承担。</w:t>
      </w:r>
    </w:p>
    <w:p>
      <w:pPr>
        <w:spacing w:line="440" w:lineRule="exact"/>
        <w:jc w:val="left"/>
        <w:rPr>
          <w:rFonts w:hint="eastAsia" w:ascii="宋体" w:hAnsi="宋体"/>
          <w:color w:val="000000"/>
          <w:sz w:val="24"/>
        </w:rPr>
      </w:pPr>
    </w:p>
    <w:p>
      <w:pPr>
        <w:spacing w:line="440" w:lineRule="exact"/>
        <w:jc w:val="left"/>
        <w:rPr>
          <w:rFonts w:ascii="宋体" w:hAnsi="宋体"/>
          <w:sz w:val="24"/>
        </w:rPr>
      </w:pPr>
      <w:r>
        <w:rPr>
          <w:rFonts w:hint="eastAsia" w:ascii="宋体" w:hAnsi="宋体"/>
          <w:b/>
          <w:bCs/>
          <w:kern w:val="28"/>
          <w:sz w:val="24"/>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1</w:t>
      </w:r>
      <w:r>
        <w:rPr>
          <w:rFonts w:hint="eastAsia" w:ascii="宋体" w:hAnsi="宋体" w:eastAsia="宋体" w:cs="宋体"/>
          <w:sz w:val="24"/>
          <w:szCs w:val="32"/>
          <w:lang w:val="en-US" w:eastAsia="zh-CN"/>
        </w:rPr>
        <w:t>、炼焦区域焦炉地下室污水与焦化管路合并铺设管道，长度约300米（</w:t>
      </w:r>
      <w:r>
        <w:rPr>
          <w:rFonts w:hint="eastAsia" w:ascii="宋体" w:hAnsi="宋体" w:cs="宋体"/>
          <w:sz w:val="24"/>
          <w:szCs w:val="32"/>
          <w:lang w:val="en-US" w:eastAsia="zh-CN"/>
        </w:rPr>
        <w:t>DN80、304不锈钢管道，主</w:t>
      </w:r>
      <w:r>
        <w:rPr>
          <w:rFonts w:hint="eastAsia" w:ascii="宋体" w:hAnsi="宋体" w:eastAsia="宋体" w:cs="宋体"/>
          <w:sz w:val="24"/>
          <w:szCs w:val="32"/>
          <w:lang w:val="en-US" w:eastAsia="zh-CN"/>
        </w:rPr>
        <w:t>材甲供</w:t>
      </w:r>
      <w:r>
        <w:rPr>
          <w:rFonts w:hint="eastAsia" w:ascii="宋体" w:hAnsi="宋体" w:cs="宋体"/>
          <w:sz w:val="24"/>
          <w:szCs w:val="32"/>
          <w:lang w:val="en-US" w:eastAsia="zh-CN"/>
        </w:rPr>
        <w:t>，辅材乙供</w:t>
      </w:r>
      <w:r>
        <w:rPr>
          <w:rFonts w:hint="eastAsia" w:ascii="宋体" w:hAnsi="宋体" w:eastAsia="宋体" w:cs="宋体"/>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2</w:t>
      </w:r>
      <w:r>
        <w:rPr>
          <w:rFonts w:hint="eastAsia" w:ascii="宋体" w:hAnsi="宋体" w:eastAsia="宋体" w:cs="宋体"/>
          <w:sz w:val="24"/>
          <w:szCs w:val="32"/>
          <w:lang w:val="en-US" w:eastAsia="zh-CN"/>
        </w:rPr>
        <w:t>、化验室、电气点检、备煤、净化防火门更换10扇，甲级防火门，图集号（03J609、12J609）约30㎡。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32"/>
          <w:highlight w:val="none"/>
          <w:lang w:val="en-US" w:eastAsia="zh-CN"/>
        </w:rPr>
      </w:pPr>
      <w:r>
        <w:rPr>
          <w:rFonts w:hint="eastAsia" w:ascii="宋体" w:hAnsi="宋体" w:cs="宋体"/>
          <w:sz w:val="24"/>
          <w:szCs w:val="32"/>
          <w:highlight w:val="none"/>
          <w:lang w:val="en-US" w:eastAsia="zh-CN"/>
        </w:rPr>
        <w:t>3</w:t>
      </w:r>
      <w:r>
        <w:rPr>
          <w:rFonts w:hint="eastAsia" w:ascii="宋体" w:hAnsi="宋体" w:eastAsia="宋体" w:cs="宋体"/>
          <w:sz w:val="24"/>
          <w:szCs w:val="32"/>
          <w:highlight w:val="none"/>
          <w:lang w:val="en-US" w:eastAsia="zh-CN"/>
        </w:rPr>
        <w:t>、拆除</w:t>
      </w:r>
      <w:r>
        <w:rPr>
          <w:rFonts w:hint="eastAsia" w:ascii="宋体" w:hAnsi="宋体" w:cs="宋体"/>
          <w:sz w:val="24"/>
          <w:szCs w:val="32"/>
          <w:highlight w:val="none"/>
          <w:lang w:val="en-US" w:eastAsia="zh-CN"/>
        </w:rPr>
        <w:t>焦炉</w:t>
      </w:r>
      <w:r>
        <w:rPr>
          <w:rFonts w:hint="eastAsia" w:ascii="宋体" w:hAnsi="宋体" w:eastAsia="宋体" w:cs="宋体"/>
          <w:sz w:val="24"/>
          <w:szCs w:val="32"/>
          <w:highlight w:val="none"/>
          <w:lang w:val="en-US" w:eastAsia="zh-CN"/>
        </w:rPr>
        <w:t>原主控室防火门，砌筑砖墙将防火门内移</w:t>
      </w:r>
      <w:r>
        <w:rPr>
          <w:rFonts w:hint="eastAsia" w:ascii="宋体" w:hAnsi="宋体" w:cs="宋体"/>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32"/>
          <w:highlight w:val="none"/>
          <w:lang w:val="en-US" w:eastAsia="zh-CN"/>
        </w:rPr>
      </w:pPr>
      <w:r>
        <w:rPr>
          <w:rFonts w:hint="eastAsia" w:ascii="宋体" w:hAnsi="宋体" w:cs="宋体"/>
          <w:sz w:val="24"/>
          <w:szCs w:val="32"/>
          <w:highlight w:val="none"/>
          <w:lang w:val="en-US" w:eastAsia="zh-CN"/>
        </w:rPr>
        <w:t>4</w:t>
      </w:r>
      <w:r>
        <w:rPr>
          <w:rFonts w:hint="eastAsia" w:ascii="宋体" w:hAnsi="宋体" w:eastAsia="宋体" w:cs="宋体"/>
          <w:sz w:val="24"/>
          <w:szCs w:val="32"/>
          <w:highlight w:val="none"/>
          <w:lang w:val="en-US" w:eastAsia="zh-CN"/>
        </w:rPr>
        <w:t>、</w:t>
      </w:r>
      <w:r>
        <w:rPr>
          <w:rFonts w:hint="eastAsia" w:ascii="宋体" w:hAnsi="宋体" w:cs="宋体"/>
          <w:sz w:val="24"/>
          <w:szCs w:val="32"/>
          <w:highlight w:val="none"/>
          <w:lang w:val="en-US" w:eastAsia="zh-CN"/>
        </w:rPr>
        <w:t>拆除</w:t>
      </w:r>
      <w:r>
        <w:rPr>
          <w:rFonts w:hint="eastAsia" w:ascii="宋体" w:hAnsi="宋体" w:eastAsia="宋体" w:cs="宋体"/>
          <w:sz w:val="24"/>
          <w:szCs w:val="32"/>
          <w:highlight w:val="none"/>
          <w:lang w:val="en-US" w:eastAsia="zh-CN"/>
        </w:rPr>
        <w:t>硫铵厂房</w:t>
      </w:r>
      <w:r>
        <w:rPr>
          <w:rFonts w:hint="eastAsia" w:ascii="宋体" w:hAnsi="宋体" w:cs="宋体"/>
          <w:sz w:val="24"/>
          <w:szCs w:val="32"/>
          <w:highlight w:val="none"/>
          <w:lang w:val="en-US" w:eastAsia="zh-CN"/>
        </w:rPr>
        <w:t>原</w:t>
      </w:r>
      <w:r>
        <w:rPr>
          <w:rFonts w:hint="eastAsia" w:ascii="宋体" w:hAnsi="宋体" w:eastAsia="宋体" w:cs="宋体"/>
          <w:sz w:val="24"/>
          <w:szCs w:val="32"/>
          <w:highlight w:val="none"/>
          <w:lang w:val="en-US" w:eastAsia="zh-CN"/>
        </w:rPr>
        <w:t>PVC落水管</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lang w:val="en-US" w:eastAsia="zh-CN"/>
        </w:rPr>
        <w:t>更换</w:t>
      </w:r>
      <w:r>
        <w:rPr>
          <w:rFonts w:hint="eastAsia" w:ascii="宋体" w:hAnsi="宋体" w:cs="宋体"/>
          <w:sz w:val="24"/>
          <w:szCs w:val="32"/>
          <w:highlight w:val="none"/>
          <w:lang w:val="en-US" w:eastAsia="zh-CN"/>
        </w:rPr>
        <w:t>直径110mm,厚度4mmPVC落水管。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lang w:val="en-US" w:eastAsia="zh-CN"/>
        </w:rPr>
        <w:t>提盐顶楼拆除</w:t>
      </w:r>
      <w:r>
        <w:rPr>
          <w:rFonts w:hint="eastAsia" w:ascii="宋体" w:hAnsi="宋体" w:cs="宋体"/>
          <w:sz w:val="24"/>
          <w:szCs w:val="32"/>
          <w:highlight w:val="none"/>
          <w:lang w:val="en-US" w:eastAsia="zh-CN"/>
        </w:rPr>
        <w:t>复合</w:t>
      </w:r>
      <w:r>
        <w:rPr>
          <w:rFonts w:hint="eastAsia" w:ascii="宋体" w:hAnsi="宋体" w:eastAsia="宋体" w:cs="宋体"/>
          <w:sz w:val="24"/>
          <w:szCs w:val="32"/>
          <w:highlight w:val="none"/>
          <w:lang w:val="en-US" w:eastAsia="zh-CN"/>
        </w:rPr>
        <w:t>岩棉夹芯板，更换侧板0.6mm厚304不锈钢彩钢瓦（板型920）</w:t>
      </w:r>
      <w:r>
        <w:rPr>
          <w:rFonts w:hint="eastAsia" w:ascii="宋体" w:hAnsi="宋体" w:cs="宋体"/>
          <w:sz w:val="24"/>
          <w:szCs w:val="32"/>
          <w:highlight w:val="none"/>
          <w:lang w:val="en-US" w:eastAsia="zh-CN"/>
        </w:rPr>
        <w:t>3</w:t>
      </w:r>
      <w:r>
        <w:rPr>
          <w:rFonts w:hint="eastAsia" w:ascii="宋体" w:hAnsi="宋体" w:eastAsia="宋体" w:cs="宋体"/>
          <w:sz w:val="24"/>
          <w:szCs w:val="32"/>
          <w:highlight w:val="none"/>
          <w:lang w:val="en-US" w:eastAsia="zh-CN"/>
        </w:rPr>
        <w:t>00㎡，屋面板0.8mm厚304不锈钢彩钢瓦（板型</w:t>
      </w:r>
      <w:r>
        <w:rPr>
          <w:rFonts w:hint="eastAsia" w:ascii="宋体" w:hAnsi="宋体" w:cs="宋体"/>
          <w:sz w:val="24"/>
          <w:szCs w:val="32"/>
          <w:highlight w:val="none"/>
          <w:lang w:val="en-US" w:eastAsia="zh-CN"/>
        </w:rPr>
        <w:t>760</w:t>
      </w:r>
      <w:r>
        <w:rPr>
          <w:rFonts w:hint="eastAsia" w:ascii="宋体" w:hAnsi="宋体" w:eastAsia="宋体" w:cs="宋体"/>
          <w:sz w:val="24"/>
          <w:szCs w:val="32"/>
          <w:highlight w:val="none"/>
          <w:lang w:val="en-US" w:eastAsia="zh-CN"/>
        </w:rPr>
        <w:t>）、自攻丝等辅材全部为304不锈钢。钢结构、檩条进行除锈防腐，除锈等级st2.0。一遍环氧富锌（30%）底漆，两遍环氧云铁中间漆，两遍丙烯酸聚氨酯面漆</w:t>
      </w:r>
      <w:r>
        <w:rPr>
          <w:rFonts w:hint="eastAsia" w:ascii="宋体" w:hAnsi="宋体" w:cs="宋体"/>
          <w:sz w:val="24"/>
          <w:szCs w:val="32"/>
          <w:highlight w:val="none"/>
          <w:lang w:val="en-US" w:eastAsia="zh-CN"/>
        </w:rPr>
        <w:t>，漆膜厚度大于150μm</w:t>
      </w:r>
      <w:r>
        <w:rPr>
          <w:rFonts w:hint="eastAsia" w:ascii="宋体" w:hAnsi="宋体" w:eastAsia="宋体" w:cs="宋体"/>
          <w:sz w:val="24"/>
          <w:szCs w:val="32"/>
          <w:highlight w:val="none"/>
          <w:lang w:val="en-US" w:eastAsia="zh-CN"/>
        </w:rPr>
        <w:t>。油漆品牌：江苏兰陵油漆涂料有限公司、江苏金陵特种涂料有限公司、江苏中涂精细化工有限公司、苏州吉人高新材料股份有限公司、山东乐化漆业股份有限公司、山东齐鲁漆业有限公司。</w:t>
      </w:r>
      <w:r>
        <w:rPr>
          <w:rFonts w:hint="eastAsia" w:ascii="宋体" w:hAnsi="宋体" w:cs="宋体"/>
          <w:sz w:val="24"/>
          <w:szCs w:val="32"/>
          <w:highlight w:val="none"/>
          <w:lang w:val="en-US" w:eastAsia="zh-CN"/>
        </w:rPr>
        <w:t>并恢复周边防水卷材。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6、</w:t>
      </w:r>
      <w:r>
        <w:rPr>
          <w:rFonts w:hint="eastAsia" w:ascii="宋体" w:hAnsi="宋体" w:eastAsia="宋体" w:cs="宋体"/>
          <w:sz w:val="24"/>
          <w:szCs w:val="32"/>
          <w:highlight w:val="none"/>
          <w:lang w:val="en-US" w:eastAsia="zh-CN"/>
        </w:rPr>
        <w:t>焦化厂外线煤气水封集水坑砌筑围堰4处</w:t>
      </w:r>
      <w:r>
        <w:rPr>
          <w:rFonts w:hint="eastAsia" w:ascii="宋体" w:hAnsi="宋体" w:cs="宋体"/>
          <w:sz w:val="24"/>
          <w:szCs w:val="32"/>
          <w:highlight w:val="none"/>
          <w:lang w:val="en-US" w:eastAsia="zh-CN"/>
        </w:rPr>
        <w:t>，材质为粉煤灰砖</w:t>
      </w:r>
      <w:r>
        <w:rPr>
          <w:rFonts w:hint="eastAsia" w:ascii="宋体" w:hAnsi="宋体" w:eastAsia="宋体" w:cs="宋体"/>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7</w:t>
      </w:r>
      <w:r>
        <w:rPr>
          <w:rFonts w:hint="eastAsia" w:ascii="宋体" w:hAnsi="宋体" w:eastAsia="宋体" w:cs="宋体"/>
          <w:sz w:val="24"/>
          <w:szCs w:val="32"/>
          <w:highlight w:val="none"/>
          <w:lang w:val="en-US" w:eastAsia="zh-CN"/>
        </w:rPr>
        <w:t>、油库罐区安装雨水管道</w:t>
      </w:r>
      <w:r>
        <w:rPr>
          <w:rFonts w:hint="eastAsia" w:ascii="宋体" w:hAnsi="宋体" w:cs="宋体"/>
          <w:sz w:val="24"/>
          <w:szCs w:val="32"/>
          <w:highlight w:val="none"/>
          <w:lang w:val="en-US" w:eastAsia="zh-CN"/>
        </w:rPr>
        <w:t>（不锈钢管道DN100，厚度2.5mm，主材料甲供，辅材乙供）</w:t>
      </w:r>
      <w:r>
        <w:rPr>
          <w:rFonts w:hint="eastAsia" w:ascii="宋体" w:hAnsi="宋体" w:eastAsia="宋体" w:cs="宋体"/>
          <w:sz w:val="24"/>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kern w:val="2"/>
          <w:sz w:val="24"/>
          <w:szCs w:val="32"/>
          <w:highlight w:val="none"/>
          <w:lang w:val="en-US" w:eastAsia="zh-CN" w:bidi="ar-SA"/>
        </w:rPr>
      </w:pPr>
      <w:r>
        <w:rPr>
          <w:rFonts w:hint="eastAsia" w:hAnsi="宋体" w:cs="宋体"/>
          <w:kern w:val="2"/>
          <w:sz w:val="24"/>
          <w:szCs w:val="32"/>
          <w:highlight w:val="none"/>
          <w:lang w:val="en-US" w:eastAsia="zh-CN" w:bidi="ar-SA"/>
        </w:rPr>
        <w:t>8</w:t>
      </w:r>
      <w:r>
        <w:rPr>
          <w:rFonts w:hint="eastAsia" w:ascii="宋体" w:hAnsi="宋体" w:eastAsia="宋体" w:cs="宋体"/>
          <w:kern w:val="2"/>
          <w:sz w:val="24"/>
          <w:szCs w:val="32"/>
          <w:highlight w:val="none"/>
          <w:lang w:val="en-US" w:eastAsia="zh-CN" w:bidi="ar-SA"/>
        </w:rPr>
        <w:t>、油库</w:t>
      </w:r>
      <w:r>
        <w:rPr>
          <w:rFonts w:hint="eastAsia" w:hAnsi="宋体" w:cs="宋体"/>
          <w:kern w:val="2"/>
          <w:sz w:val="24"/>
          <w:szCs w:val="32"/>
          <w:highlight w:val="none"/>
          <w:lang w:val="en-US" w:eastAsia="zh-CN" w:bidi="ar-SA"/>
        </w:rPr>
        <w:t>东侧、</w:t>
      </w:r>
      <w:r>
        <w:rPr>
          <w:rFonts w:hint="eastAsia" w:ascii="宋体" w:hAnsi="宋体" w:eastAsia="宋体" w:cs="宋体"/>
          <w:kern w:val="2"/>
          <w:sz w:val="24"/>
          <w:szCs w:val="32"/>
          <w:highlight w:val="none"/>
          <w:lang w:val="en-US" w:eastAsia="zh-CN" w:bidi="ar-SA"/>
        </w:rPr>
        <w:t>粗苯</w:t>
      </w:r>
      <w:r>
        <w:rPr>
          <w:rFonts w:hint="eastAsia" w:hAnsi="宋体" w:cs="宋体"/>
          <w:kern w:val="2"/>
          <w:sz w:val="24"/>
          <w:szCs w:val="32"/>
          <w:highlight w:val="none"/>
          <w:lang w:val="en-US" w:eastAsia="zh-CN" w:bidi="ar-SA"/>
        </w:rPr>
        <w:t>东侧</w:t>
      </w:r>
      <w:r>
        <w:rPr>
          <w:rFonts w:hint="eastAsia" w:ascii="宋体" w:hAnsi="宋体" w:eastAsia="宋体" w:cs="宋体"/>
          <w:kern w:val="2"/>
          <w:sz w:val="24"/>
          <w:szCs w:val="32"/>
          <w:highlight w:val="none"/>
          <w:lang w:val="en-US" w:eastAsia="zh-CN" w:bidi="ar-SA"/>
        </w:rPr>
        <w:t>罐铺设青石子（</w:t>
      </w:r>
      <w:r>
        <w:rPr>
          <w:rFonts w:hint="eastAsia" w:ascii="宋体" w:hAnsi="宋体" w:eastAsia="宋体" w:cs="宋体"/>
          <w:color w:val="000000"/>
          <w:kern w:val="2"/>
          <w:sz w:val="24"/>
          <w:szCs w:val="24"/>
          <w:highlight w:val="none"/>
          <w:lang w:val="en-US" w:eastAsia="zh-CN"/>
        </w:rPr>
        <w:t>1-3cm</w:t>
      </w:r>
      <w:r>
        <w:rPr>
          <w:rFonts w:hint="eastAsia" w:ascii="宋体" w:hAnsi="宋体" w:eastAsia="宋体" w:cs="宋体"/>
          <w:kern w:val="2"/>
          <w:sz w:val="24"/>
          <w:szCs w:val="32"/>
          <w:highlight w:val="none"/>
          <w:lang w:val="en-US" w:eastAsia="zh-CN" w:bidi="ar-SA"/>
        </w:rPr>
        <w:t>）</w:t>
      </w:r>
      <w:r>
        <w:rPr>
          <w:rFonts w:hint="eastAsia" w:hAnsi="宋体" w:cs="宋体"/>
          <w:kern w:val="2"/>
          <w:sz w:val="24"/>
          <w:szCs w:val="32"/>
          <w:highlight w:val="none"/>
          <w:lang w:val="en-US" w:eastAsia="zh-CN" w:bidi="ar-SA"/>
        </w:rPr>
        <w:t>，油库东侧铺设厚度7cm，粗苯铺</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32"/>
          <w:highlight w:val="none"/>
          <w:lang w:val="en-US" w:eastAsia="zh-CN" w:bidi="ar-SA"/>
        </w:rPr>
      </w:pPr>
      <w:r>
        <w:rPr>
          <w:rFonts w:hint="eastAsia" w:hAnsi="宋体" w:cs="宋体"/>
          <w:kern w:val="2"/>
          <w:sz w:val="24"/>
          <w:szCs w:val="32"/>
          <w:highlight w:val="none"/>
          <w:lang w:val="en-US" w:eastAsia="zh-CN" w:bidi="ar-SA"/>
        </w:rPr>
        <w:t>设厚度5cm，铺设完成后与地坪旁水泥地面标高一致。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9</w:t>
      </w:r>
      <w:r>
        <w:rPr>
          <w:rFonts w:hint="eastAsia" w:ascii="宋体" w:hAnsi="宋体" w:eastAsia="宋体" w:cs="宋体"/>
          <w:sz w:val="24"/>
          <w:szCs w:val="32"/>
          <w:lang w:val="en-US" w:eastAsia="zh-CN"/>
        </w:rPr>
        <w:t>、</w:t>
      </w:r>
      <w:r>
        <w:rPr>
          <w:rFonts w:hint="eastAsia" w:ascii="宋体" w:hAnsi="宋体" w:cs="宋体"/>
          <w:sz w:val="24"/>
          <w:szCs w:val="32"/>
          <w:lang w:val="en-US" w:eastAsia="zh-CN"/>
        </w:rPr>
        <w:t>焦化厂办公楼</w:t>
      </w:r>
      <w:r>
        <w:rPr>
          <w:rFonts w:hint="eastAsia" w:ascii="宋体" w:hAnsi="宋体" w:eastAsia="宋体" w:cs="宋体"/>
          <w:sz w:val="24"/>
          <w:szCs w:val="32"/>
          <w:lang w:val="en-US" w:eastAsia="zh-CN"/>
        </w:rPr>
        <w:t>3楼东侧窗户封闭，砌筑砖墙</w:t>
      </w:r>
      <w:r>
        <w:rPr>
          <w:rFonts w:hint="eastAsia" w:ascii="宋体" w:hAnsi="宋体" w:cs="宋体"/>
          <w:sz w:val="24"/>
          <w:szCs w:val="32"/>
          <w:lang w:val="en-US" w:eastAsia="zh-CN"/>
        </w:rPr>
        <w:t>，一遍腻子，内墙粉刷2遍乳胶漆，外墙粉刷2遍外墙涂料。</w:t>
      </w:r>
    </w:p>
    <w:p>
      <w:pPr>
        <w:adjustRightInd w:val="0"/>
        <w:snapToGrid w:val="0"/>
        <w:spacing w:line="440" w:lineRule="exact"/>
        <w:rPr>
          <w:rFonts w:hint="eastAsia" w:ascii="宋体" w:hAnsi="宋体"/>
          <w:b/>
          <w:kern w:val="0"/>
          <w:sz w:val="24"/>
        </w:rPr>
      </w:pPr>
    </w:p>
    <w:p>
      <w:pPr>
        <w:adjustRightInd w:val="0"/>
        <w:snapToGrid w:val="0"/>
        <w:spacing w:line="440" w:lineRule="exact"/>
        <w:rPr>
          <w:rFonts w:ascii="宋体" w:hAnsi="宋体"/>
          <w:b/>
          <w:kern w:val="0"/>
          <w:sz w:val="24"/>
        </w:rPr>
      </w:pPr>
      <w:r>
        <w:rPr>
          <w:rFonts w:hint="eastAsia" w:ascii="宋体" w:hAnsi="宋体"/>
          <w:b/>
          <w:kern w:val="0"/>
          <w:sz w:val="24"/>
        </w:rPr>
        <w:t>四、现场要求</w:t>
      </w:r>
    </w:p>
    <w:p>
      <w:pPr>
        <w:spacing w:line="360" w:lineRule="auto"/>
        <w:ind w:firstLine="480" w:firstLineChars="200"/>
        <w:rPr>
          <w:rFonts w:ascii="宋体" w:hAnsi="宋体"/>
          <w:sz w:val="24"/>
        </w:rPr>
      </w:pPr>
      <w:r>
        <w:rPr>
          <w:rFonts w:hint="eastAsia" w:ascii="宋体" w:hAnsi="宋体"/>
          <w:sz w:val="24"/>
        </w:rPr>
        <w:t>1、工地勘察及开工手续</w:t>
      </w:r>
    </w:p>
    <w:p>
      <w:pPr>
        <w:spacing w:line="360" w:lineRule="auto"/>
        <w:ind w:firstLine="480" w:firstLineChars="200"/>
        <w:rPr>
          <w:rFonts w:ascii="宋体" w:hAnsi="宋体"/>
          <w:sz w:val="24"/>
        </w:rPr>
      </w:pPr>
      <w:r>
        <w:rPr>
          <w:rFonts w:hint="eastAsia" w:ascii="宋体" w:hAnsi="宋体"/>
          <w:sz w:val="24"/>
        </w:rPr>
        <w:t>乙方必须认真勘察工程现场，使自己熟悉现场的位置、周围环境，确定工程范围和现有工地条件，了解场内供水、供电等情况，以及作贮存和施工的空间、施工人员、材料等进出方位等，以便取得一切可能影响其承包造价的额外的付款或延长竣工期限的因素，对此甲方将不作任何考虑。乙方必须按规定在当地办理开工手续。</w:t>
      </w:r>
    </w:p>
    <w:p>
      <w:pPr>
        <w:spacing w:line="360" w:lineRule="auto"/>
        <w:ind w:firstLine="480" w:firstLineChars="200"/>
        <w:rPr>
          <w:rFonts w:ascii="宋体" w:hAnsi="宋体"/>
          <w:sz w:val="24"/>
        </w:rPr>
      </w:pPr>
      <w:r>
        <w:rPr>
          <w:rFonts w:hint="eastAsia" w:ascii="宋体" w:hAnsi="宋体"/>
          <w:sz w:val="24"/>
        </w:rPr>
        <w:t>2、清理工程现场</w:t>
      </w:r>
    </w:p>
    <w:p>
      <w:pPr>
        <w:spacing w:line="360" w:lineRule="auto"/>
        <w:ind w:firstLine="480" w:firstLineChars="200"/>
        <w:rPr>
          <w:rFonts w:ascii="宋体" w:hAnsi="宋体"/>
          <w:sz w:val="24"/>
        </w:rPr>
      </w:pPr>
      <w:r>
        <w:rPr>
          <w:rFonts w:hint="eastAsia" w:ascii="宋体" w:hAnsi="宋体"/>
          <w:sz w:val="24"/>
        </w:rPr>
        <w:t>乙方须在工程开始时进行场地清理及在工程进行中随时清理工程现场，以保持施工场地整洁，文明施工。</w:t>
      </w:r>
    </w:p>
    <w:p>
      <w:pPr>
        <w:spacing w:line="360" w:lineRule="auto"/>
        <w:ind w:firstLine="480" w:firstLineChars="200"/>
        <w:rPr>
          <w:rFonts w:ascii="宋体" w:hAnsi="宋体"/>
          <w:sz w:val="24"/>
        </w:rPr>
      </w:pPr>
      <w:r>
        <w:rPr>
          <w:rFonts w:hint="eastAsia" w:ascii="宋体" w:hAnsi="宋体"/>
          <w:sz w:val="24"/>
        </w:rPr>
        <w:t>施工产生的建筑垃圾由乙方统一拉运至甲方指定地点（运距约9公里），并保证拉运道路的清洁，如有撒漏污染路面，由乙方负责清理并按照甲方相关管理条例进行处罚。如因此给甲方造成损失（包括但不限于行政处罚及第三方索赔）的，乙方应据实赔偿。</w:t>
      </w:r>
    </w:p>
    <w:p>
      <w:pPr>
        <w:spacing w:line="360" w:lineRule="auto"/>
        <w:ind w:firstLine="480" w:firstLineChars="200"/>
        <w:rPr>
          <w:rFonts w:ascii="宋体" w:hAnsi="宋体"/>
          <w:sz w:val="24"/>
        </w:rPr>
      </w:pPr>
      <w:r>
        <w:rPr>
          <w:rFonts w:hint="eastAsia" w:ascii="宋体" w:hAnsi="宋体"/>
          <w:sz w:val="24"/>
        </w:rPr>
        <w:t>施工产生的</w:t>
      </w:r>
      <w:r>
        <w:rPr>
          <w:rFonts w:hint="eastAsia" w:ascii="宋体" w:hAnsi="宋体"/>
          <w:sz w:val="24"/>
          <w:lang w:val="en-US" w:eastAsia="zh-CN"/>
        </w:rPr>
        <w:t>固废、</w:t>
      </w:r>
      <w:r>
        <w:rPr>
          <w:rFonts w:hint="eastAsia" w:ascii="宋体" w:hAnsi="宋体"/>
          <w:sz w:val="24"/>
        </w:rPr>
        <w:t>危险废弃物必须遵守青特钢相关规定制度，由青特钢统一安排有资质的厂家做无害化处理，费用由乙方承担。</w:t>
      </w:r>
    </w:p>
    <w:p>
      <w:pPr>
        <w:spacing w:line="360" w:lineRule="auto"/>
        <w:ind w:firstLine="480" w:firstLineChars="200"/>
        <w:rPr>
          <w:rFonts w:ascii="宋体" w:hAnsi="宋体"/>
          <w:sz w:val="24"/>
        </w:rPr>
      </w:pPr>
      <w:r>
        <w:rPr>
          <w:rFonts w:hint="eastAsia" w:ascii="宋体" w:hAnsi="宋体"/>
          <w:sz w:val="24"/>
        </w:rPr>
        <w:t>此外，乙方必须于合同提前解除或实际完工日期后七天内将一切机械、工具、剩余材料、泥头、淤泥、废物等迁离施工场地  并整理后将工地交回甲方。</w:t>
      </w:r>
    </w:p>
    <w:p>
      <w:pPr>
        <w:spacing w:line="360" w:lineRule="auto"/>
        <w:ind w:firstLine="480" w:firstLineChars="200"/>
        <w:rPr>
          <w:rFonts w:ascii="宋体" w:hAnsi="宋体"/>
          <w:sz w:val="24"/>
        </w:rPr>
      </w:pPr>
      <w:r>
        <w:rPr>
          <w:rFonts w:hint="eastAsia" w:ascii="宋体" w:hAnsi="宋体"/>
          <w:sz w:val="24"/>
        </w:rPr>
        <w:t>3、工程现场</w:t>
      </w:r>
    </w:p>
    <w:p>
      <w:pPr>
        <w:spacing w:line="360" w:lineRule="auto"/>
        <w:ind w:firstLine="480" w:firstLineChars="200"/>
        <w:rPr>
          <w:rFonts w:ascii="宋体" w:hAnsi="宋体"/>
          <w:sz w:val="24"/>
        </w:rPr>
      </w:pPr>
      <w:r>
        <w:rPr>
          <w:rFonts w:hint="eastAsia" w:ascii="宋体" w:hAnsi="宋体"/>
          <w:sz w:val="24"/>
        </w:rPr>
        <w:t>施工现场必须统一采用草绿色彩钢瓦围挡，将生产和施工作业区进行严格分离。</w:t>
      </w:r>
    </w:p>
    <w:p>
      <w:pPr>
        <w:spacing w:line="360" w:lineRule="auto"/>
        <w:ind w:firstLine="480" w:firstLineChars="200"/>
        <w:rPr>
          <w:rFonts w:ascii="宋体" w:hAnsi="宋体"/>
          <w:sz w:val="24"/>
        </w:rPr>
      </w:pPr>
      <w:r>
        <w:rPr>
          <w:rFonts w:hint="eastAsia" w:ascii="宋体" w:hAnsi="宋体"/>
          <w:sz w:val="24"/>
        </w:rPr>
        <w:t>所有施工人员必须统一着装并配套反光背心，安全劳保配套到位，安全帽按照甲方要求粘贴区分标志。现场所使用的工具必须经过甲方相关部门检测鉴定后，粘贴使用标签后才能使用。在甲方指定的区域内组织施工，不允许进入生产区。同时需遵守青岛特钢及生产厂的各项规章制度。</w:t>
      </w:r>
    </w:p>
    <w:p>
      <w:pPr>
        <w:spacing w:line="360" w:lineRule="auto"/>
        <w:ind w:firstLine="480" w:firstLineChars="200"/>
        <w:rPr>
          <w:rFonts w:hint="eastAsia" w:ascii="宋体" w:hAnsi="宋体"/>
          <w:sz w:val="24"/>
        </w:rPr>
      </w:pPr>
      <w:r>
        <w:rPr>
          <w:rFonts w:hint="eastAsia" w:ascii="宋体" w:hAnsi="宋体"/>
          <w:sz w:val="24"/>
        </w:rPr>
        <w:t>开挖土方及施工垃圾不得现场堆放，原材物料不经甲方许可不得现场堆放，需临时周转的物料务必存放在甲方指定区域，并有乙方负责看管，如有丢失与甲方无关。</w:t>
      </w:r>
    </w:p>
    <w:p>
      <w:pPr>
        <w:spacing w:line="360" w:lineRule="auto"/>
        <w:ind w:firstLine="480" w:firstLineChars="200"/>
        <w:rPr>
          <w:rFonts w:hint="eastAsia" w:ascii="宋体" w:hAnsi="宋体"/>
          <w:sz w:val="24"/>
        </w:rPr>
      </w:pPr>
      <w:r>
        <w:rPr>
          <w:rFonts w:hint="eastAsia" w:ascii="宋体" w:hAnsi="宋体"/>
          <w:sz w:val="24"/>
        </w:rPr>
        <w:t>工程现场开挖深度≥1.5m的基坑必须用钢管栏杆围护，要求钢管栏杆坚固整齐，钢</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管涂刷黄黑相间漆。开挖深度超过5米的要按深基坑支护专项方案评审、报批程序施工。</w:t>
      </w:r>
    </w:p>
    <w:p>
      <w:pPr>
        <w:spacing w:line="360" w:lineRule="auto"/>
        <w:ind w:firstLine="480" w:firstLineChars="200"/>
        <w:rPr>
          <w:rFonts w:ascii="宋体" w:hAnsi="宋体"/>
          <w:sz w:val="24"/>
        </w:rPr>
      </w:pPr>
      <w:r>
        <w:rPr>
          <w:rFonts w:hint="eastAsia" w:ascii="宋体" w:hAnsi="宋体"/>
          <w:sz w:val="24"/>
        </w:rPr>
        <w:t>4、临时设施</w:t>
      </w:r>
    </w:p>
    <w:p>
      <w:pPr>
        <w:spacing w:line="360" w:lineRule="auto"/>
        <w:ind w:firstLine="480" w:firstLineChars="200"/>
        <w:rPr>
          <w:rFonts w:hint="eastAsia" w:ascii="宋体" w:hAnsi="宋体"/>
          <w:sz w:val="24"/>
        </w:rPr>
      </w:pPr>
      <w:r>
        <w:rPr>
          <w:rFonts w:hint="eastAsia" w:ascii="宋体" w:hAnsi="宋体"/>
          <w:sz w:val="24"/>
        </w:rPr>
        <w:t>乙方被允许在工地现场搭设临时加工棚、料棚，但其搭设之方位与面积范围必须事</w:t>
      </w:r>
    </w:p>
    <w:p>
      <w:pPr>
        <w:spacing w:line="360" w:lineRule="auto"/>
        <w:rPr>
          <w:rFonts w:hint="eastAsia" w:ascii="宋体" w:hAnsi="宋体"/>
          <w:sz w:val="24"/>
        </w:rPr>
      </w:pPr>
      <w:r>
        <w:rPr>
          <w:rFonts w:hint="eastAsia" w:ascii="宋体" w:hAnsi="宋体"/>
          <w:sz w:val="24"/>
        </w:rPr>
        <w:t>先征得甲方的书面认可。乙方应对搭设及使用工棚、料棚（移动式集装箱）的安全负责；</w:t>
      </w:r>
    </w:p>
    <w:p>
      <w:pPr>
        <w:spacing w:line="360" w:lineRule="auto"/>
        <w:rPr>
          <w:rFonts w:ascii="宋体" w:hAnsi="宋体"/>
          <w:sz w:val="24"/>
        </w:rPr>
      </w:pPr>
      <w:r>
        <w:rPr>
          <w:rFonts w:hint="eastAsia" w:ascii="宋体" w:hAnsi="宋体"/>
          <w:sz w:val="24"/>
        </w:rPr>
        <w:t>同时，乙方应于甲方要求的时间内拆除并清理现场。</w:t>
      </w:r>
    </w:p>
    <w:p>
      <w:pPr>
        <w:spacing w:line="360" w:lineRule="auto"/>
        <w:ind w:firstLine="480" w:firstLineChars="200"/>
        <w:rPr>
          <w:rFonts w:ascii="宋体" w:hAnsi="宋体"/>
          <w:sz w:val="24"/>
        </w:rPr>
      </w:pPr>
      <w:r>
        <w:rPr>
          <w:rFonts w:hint="eastAsia" w:ascii="宋体" w:hAnsi="宋体"/>
          <w:sz w:val="24"/>
        </w:rPr>
        <w:t>5、消防设备</w:t>
      </w:r>
    </w:p>
    <w:p>
      <w:pPr>
        <w:spacing w:line="360" w:lineRule="auto"/>
        <w:ind w:firstLine="480" w:firstLineChars="200"/>
        <w:rPr>
          <w:rFonts w:ascii="宋体" w:hAnsi="宋体"/>
          <w:sz w:val="24"/>
        </w:rPr>
      </w:pPr>
      <w:r>
        <w:rPr>
          <w:rFonts w:hint="eastAsia" w:ascii="宋体" w:hAnsi="宋体"/>
          <w:sz w:val="24"/>
        </w:rPr>
        <w:t>乙方将负责在施工期间提供适当的消防设备，并遵守国家和当地消防局之消防安全条例、规范和所有施工安全（包括用电等）的规定。乙方须在工程现场设置灭火器和防火标志，并对违反消防安全行为而引起的一切后果承担全部责任。</w:t>
      </w:r>
    </w:p>
    <w:p>
      <w:pPr>
        <w:spacing w:line="360" w:lineRule="auto"/>
        <w:ind w:firstLine="480" w:firstLineChars="200"/>
        <w:rPr>
          <w:rFonts w:ascii="宋体" w:hAnsi="宋体"/>
          <w:sz w:val="24"/>
        </w:rPr>
      </w:pPr>
      <w:r>
        <w:rPr>
          <w:rFonts w:hint="eastAsia" w:ascii="宋体" w:hAnsi="宋体"/>
          <w:sz w:val="24"/>
        </w:rPr>
        <w:t>6、卫生设施</w:t>
      </w:r>
    </w:p>
    <w:p>
      <w:pPr>
        <w:spacing w:line="360" w:lineRule="auto"/>
        <w:ind w:firstLine="480" w:firstLineChars="200"/>
        <w:rPr>
          <w:rFonts w:ascii="宋体" w:hAnsi="宋体"/>
          <w:sz w:val="24"/>
        </w:rPr>
      </w:pPr>
      <w:r>
        <w:rPr>
          <w:rFonts w:hint="eastAsia" w:ascii="宋体" w:hAnsi="宋体"/>
          <w:sz w:val="24"/>
        </w:rPr>
        <w:t>乙方必须保持工地现场卫生清洁，配备必要的水冲厕所、生活垃圾桶等必要的卫生设施，在工程结束后及时予以清理不得影响工程交付。</w:t>
      </w:r>
    </w:p>
    <w:p>
      <w:pPr>
        <w:spacing w:line="360" w:lineRule="auto"/>
        <w:ind w:firstLine="480" w:firstLineChars="200"/>
        <w:rPr>
          <w:rFonts w:ascii="宋体" w:hAnsi="宋体"/>
          <w:sz w:val="24"/>
        </w:rPr>
      </w:pPr>
      <w:r>
        <w:rPr>
          <w:rFonts w:hint="eastAsia" w:ascii="宋体" w:hAnsi="宋体"/>
          <w:sz w:val="24"/>
        </w:rPr>
        <w:t>7、工地办公室</w:t>
      </w:r>
    </w:p>
    <w:p>
      <w:pPr>
        <w:spacing w:line="360" w:lineRule="auto"/>
        <w:ind w:firstLine="480" w:firstLineChars="200"/>
        <w:rPr>
          <w:rFonts w:ascii="宋体" w:hAnsi="宋体"/>
          <w:sz w:val="24"/>
        </w:rPr>
      </w:pPr>
      <w:r>
        <w:rPr>
          <w:rFonts w:hint="eastAsia" w:ascii="宋体" w:hAnsi="宋体"/>
          <w:sz w:val="24"/>
        </w:rPr>
        <w:t>乙方可在甲方指定的地点搭建临时办公室（须满足QTG-182-2022厂内相关方临建管理规定要求），除处理本工程日常材料往来与工人缺勤之登记外，也可作为工程联系、协调及临时会议之用，一切搭建安装费用均由乙方负责，但办公室之大小、位置及内部设施等应事先得到甲方认可。同时，工地办公室搭建时，如需要任何接驳、拆离或影响现有建筑结构的服务设施等必须预先以书面形式说明理由通知甲方，并须在甲方同意和监督下进行。</w:t>
      </w:r>
    </w:p>
    <w:p>
      <w:pPr>
        <w:spacing w:line="360" w:lineRule="auto"/>
        <w:ind w:firstLine="480" w:firstLineChars="200"/>
        <w:rPr>
          <w:rFonts w:ascii="宋体" w:hAnsi="宋体"/>
          <w:sz w:val="24"/>
        </w:rPr>
      </w:pPr>
      <w:r>
        <w:rPr>
          <w:rFonts w:hint="eastAsia" w:ascii="宋体" w:hAnsi="宋体"/>
          <w:sz w:val="24"/>
        </w:rPr>
        <w:t>8、住宿</w:t>
      </w:r>
    </w:p>
    <w:p>
      <w:pPr>
        <w:spacing w:line="360" w:lineRule="auto"/>
        <w:ind w:firstLine="240" w:firstLineChars="100"/>
        <w:rPr>
          <w:rFonts w:ascii="宋体" w:hAnsi="宋体"/>
          <w:sz w:val="24"/>
        </w:rPr>
      </w:pPr>
      <w:r>
        <w:rPr>
          <w:rFonts w:hint="eastAsia" w:ascii="宋体" w:hAnsi="宋体"/>
          <w:sz w:val="24"/>
        </w:rPr>
        <w:t>施工期间甲方不允许乙方在工地区域搭建临时设施作为施工</w:t>
      </w:r>
      <w:bookmarkStart w:id="3" w:name="_GoBack"/>
      <w:bookmarkEnd w:id="3"/>
      <w:r>
        <w:rPr>
          <w:rFonts w:hint="eastAsia" w:ascii="宋体" w:hAnsi="宋体"/>
          <w:sz w:val="24"/>
        </w:rPr>
        <w:t>人员之住宿场所，只允许值班人员夜间留守。同时不允许使用大功率电器、煤气罐等做饭，否则，由此引发安全事故产生的责任及损失均由乙方承担。</w:t>
      </w:r>
    </w:p>
    <w:p>
      <w:pPr>
        <w:spacing w:line="360" w:lineRule="auto"/>
        <w:ind w:firstLine="480" w:firstLineChars="200"/>
        <w:rPr>
          <w:rFonts w:ascii="宋体" w:hAnsi="宋体"/>
          <w:sz w:val="24"/>
        </w:rPr>
      </w:pPr>
      <w:r>
        <w:rPr>
          <w:rFonts w:hint="eastAsia" w:ascii="宋体" w:hAnsi="宋体"/>
          <w:sz w:val="24"/>
        </w:rPr>
        <w:t>9、施工安全</w:t>
      </w:r>
    </w:p>
    <w:p>
      <w:pPr>
        <w:spacing w:line="360" w:lineRule="auto"/>
        <w:ind w:firstLine="480" w:firstLineChars="200"/>
        <w:rPr>
          <w:rFonts w:ascii="宋体" w:hAnsi="宋体"/>
          <w:sz w:val="24"/>
        </w:rPr>
      </w:pPr>
      <w:r>
        <w:rPr>
          <w:rFonts w:hint="eastAsia" w:ascii="宋体" w:hAnsi="宋体"/>
          <w:sz w:val="24"/>
        </w:rPr>
        <w:t>9.1中标单位接到中标通知书后，需与甲方签订承发包工程安全管理协议书及承发包工程环境保护管理协议书。</w:t>
      </w:r>
    </w:p>
    <w:p>
      <w:pPr>
        <w:spacing w:line="360" w:lineRule="auto"/>
        <w:ind w:firstLine="480" w:firstLineChars="200"/>
        <w:rPr>
          <w:rFonts w:ascii="宋体" w:hAnsi="宋体"/>
          <w:sz w:val="24"/>
        </w:rPr>
      </w:pPr>
      <w:r>
        <w:rPr>
          <w:rFonts w:hint="eastAsia" w:ascii="宋体" w:hAnsi="宋体"/>
          <w:sz w:val="24"/>
        </w:rPr>
        <w:t>9.2乙方必须严格遵守甲方《生产（施工）作业现场违章考核管理规定》《生产现场定置定位管理实施细则》等安全文明施工的相关规定制度。</w:t>
      </w:r>
    </w:p>
    <w:p>
      <w:pPr>
        <w:spacing w:line="360" w:lineRule="auto"/>
        <w:ind w:firstLine="480" w:firstLineChars="200"/>
        <w:rPr>
          <w:rFonts w:hint="eastAsia" w:ascii="宋体" w:hAnsi="宋体"/>
          <w:sz w:val="24"/>
        </w:rPr>
      </w:pPr>
      <w:r>
        <w:rPr>
          <w:rFonts w:hint="eastAsia" w:ascii="宋体" w:hAnsi="宋体"/>
          <w:sz w:val="24"/>
        </w:rPr>
        <w:t>9.3乙方必须严格按国家规范安全守则进行施工，建立安全施工制度，并每日派专</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人负责检查工地内一切安全设施设备，以减低意外事故发生的可能性，确保工程施工无重大安全伤亡事故；一切保持工地现场安全的设施设备等费用均由乙方负责。</w:t>
      </w:r>
    </w:p>
    <w:p>
      <w:pPr>
        <w:spacing w:line="360" w:lineRule="auto"/>
        <w:ind w:firstLine="480" w:firstLineChars="200"/>
        <w:rPr>
          <w:rFonts w:hint="eastAsia" w:ascii="宋体" w:hAnsi="宋体"/>
          <w:sz w:val="24"/>
        </w:rPr>
      </w:pPr>
      <w:r>
        <w:rPr>
          <w:rFonts w:hint="eastAsia" w:ascii="宋体" w:hAnsi="宋体"/>
          <w:sz w:val="24"/>
        </w:rPr>
        <w:t>9.4乙方除另行签订《安全管理协议》外还要按以下安全条款执行：</w:t>
      </w:r>
    </w:p>
    <w:p>
      <w:pPr>
        <w:spacing w:line="360" w:lineRule="auto"/>
        <w:ind w:firstLine="480" w:firstLineChars="200"/>
        <w:rPr>
          <w:rFonts w:hint="eastAsia" w:ascii="宋体" w:hAnsi="宋体"/>
          <w:sz w:val="24"/>
        </w:rPr>
      </w:pPr>
      <w:r>
        <w:rPr>
          <w:rFonts w:hint="eastAsia" w:ascii="宋体" w:hAnsi="宋体"/>
          <w:sz w:val="24"/>
        </w:rPr>
        <w:t>9.4.1甲方有权监督乙方落实主体管理责任；有权对乙方作业现场和作业活动进行</w:t>
      </w:r>
    </w:p>
    <w:p>
      <w:pPr>
        <w:spacing w:line="360" w:lineRule="auto"/>
        <w:rPr>
          <w:rFonts w:ascii="宋体" w:hAnsi="宋体"/>
          <w:sz w:val="24"/>
        </w:rPr>
      </w:pPr>
      <w:r>
        <w:rPr>
          <w:rFonts w:hint="eastAsia" w:ascii="宋体" w:hAnsi="宋体"/>
          <w:sz w:val="24"/>
        </w:rPr>
        <w:t>定期安全检查；有权对施工方案中的安全措施和应急处置措施提出审核建议，并监督落实；负责对作业现场进行安全交底；有权对涉煤气检修作业、有限空间作业、5 米以上高处作业等危险作业提出审批建议；有权定期组织安全会议；其他与乙方安全有关事宜。</w:t>
      </w:r>
    </w:p>
    <w:p>
      <w:pPr>
        <w:spacing w:line="360" w:lineRule="auto"/>
        <w:ind w:firstLine="480" w:firstLineChars="200"/>
        <w:rPr>
          <w:rFonts w:ascii="宋体" w:hAnsi="宋体"/>
          <w:sz w:val="24"/>
        </w:rPr>
      </w:pPr>
      <w:r>
        <w:rPr>
          <w:rFonts w:hint="eastAsia" w:ascii="宋体" w:hAnsi="宋体"/>
          <w:sz w:val="24"/>
        </w:rPr>
        <w:t>9.4.2乙方安全职责：乙方对其安全负主体管理责任。乙方必须遵守相关法律法规标准规范、遵守甲方的各项安全管理制度，明确安全目标及承诺要求，明确其安全机构或安全管理人员配备要求，满足安全投入要求，负责对乙方作业人员进行入厂安全培训，满足建立健全安全生产责任制要求、特种设备管理要求、特种作业人员和特种设备操作人员管理要求、风险评估和控制要求、安全教育培训要求、高风险作业管理要求、危险物品及重大危险源管理要求、职业病防治管理要求、劳动防护用品（具）配备要求、安全检查及隐患（含违章）治理要求、消防管理要求、应急管理要求、事故汇报及调查处理要求、依法缴纳工伤保险要求、分包管理要求。</w:t>
      </w:r>
    </w:p>
    <w:p>
      <w:pPr>
        <w:pStyle w:val="3"/>
        <w:spacing w:line="360" w:lineRule="auto"/>
      </w:pPr>
      <w:r>
        <w:rPr>
          <w:rFonts w:hint="eastAsia" w:ascii="宋体" w:hAnsi="宋体" w:cs="宋体"/>
          <w:sz w:val="24"/>
        </w:rPr>
        <w:t>乙方须响应当地政府及青特钢相关疫情防控政策，由于新型冠状肺炎疫情引起的工程费用增加全部由乙方负责，与甲方无关。</w:t>
      </w:r>
    </w:p>
    <w:p>
      <w:pPr>
        <w:spacing w:line="360" w:lineRule="auto"/>
        <w:ind w:firstLine="480" w:firstLineChars="200"/>
        <w:rPr>
          <w:rFonts w:ascii="宋体" w:hAnsi="宋体"/>
          <w:sz w:val="24"/>
        </w:rPr>
      </w:pPr>
      <w:r>
        <w:rPr>
          <w:rFonts w:hint="eastAsia" w:ascii="宋体" w:hAnsi="宋体"/>
          <w:sz w:val="24"/>
        </w:rPr>
        <w:t>9.4.3违约责任</w:t>
      </w:r>
    </w:p>
    <w:p>
      <w:pPr>
        <w:spacing w:line="360" w:lineRule="auto"/>
        <w:ind w:firstLine="480" w:firstLineChars="200"/>
        <w:rPr>
          <w:rFonts w:ascii="宋体" w:hAnsi="宋体"/>
          <w:sz w:val="24"/>
        </w:rPr>
      </w:pPr>
      <w:r>
        <w:rPr>
          <w:rFonts w:hint="eastAsia" w:ascii="宋体" w:hAnsi="宋体"/>
          <w:sz w:val="24"/>
        </w:rPr>
        <w:t>包括以下内容：</w:t>
      </w:r>
    </w:p>
    <w:p>
      <w:pPr>
        <w:spacing w:line="360" w:lineRule="auto"/>
        <w:ind w:firstLine="480" w:firstLineChars="200"/>
        <w:rPr>
          <w:rFonts w:ascii="宋体" w:hAnsi="宋体"/>
          <w:sz w:val="24"/>
        </w:rPr>
      </w:pPr>
      <w:r>
        <w:rPr>
          <w:rFonts w:hint="eastAsia" w:ascii="宋体" w:hAnsi="宋体"/>
          <w:sz w:val="24"/>
        </w:rPr>
        <w:t>1）乙方未履行或履行不符合本合同规定的乙方安全职责时，应承担违约金额 5000 元/项/次。</w:t>
      </w:r>
    </w:p>
    <w:p>
      <w:pPr>
        <w:spacing w:line="360" w:lineRule="auto"/>
        <w:ind w:firstLine="480" w:firstLineChars="200"/>
        <w:rPr>
          <w:rFonts w:ascii="宋体" w:hAnsi="宋体"/>
          <w:sz w:val="24"/>
        </w:rPr>
      </w:pPr>
      <w:r>
        <w:rPr>
          <w:rFonts w:hint="eastAsia" w:ascii="宋体" w:hAnsi="宋体"/>
          <w:sz w:val="24"/>
        </w:rPr>
        <w:t>2）乙方应按照甲方《建设工程管理办法》，实施小班化管理和设立旁站安全员。甲方履行安全监管职责时，发现的乙方违章及隐患根据其性质按1000-5000 元/项扣除违约金。</w:t>
      </w:r>
    </w:p>
    <w:p>
      <w:pPr>
        <w:spacing w:line="360" w:lineRule="auto"/>
        <w:ind w:firstLine="480" w:firstLineChars="200"/>
        <w:rPr>
          <w:rFonts w:ascii="宋体" w:hAnsi="宋体"/>
          <w:sz w:val="24"/>
        </w:rPr>
      </w:pPr>
      <w:r>
        <w:rPr>
          <w:rFonts w:hint="eastAsia" w:ascii="宋体" w:hAnsi="宋体"/>
          <w:sz w:val="24"/>
        </w:rPr>
        <w:t>3）乙方在甲方工作期间发生安全事故，必须按中信泰富特钢集团《安全生产事故报告管理办法》进行调查处理。以事故调查分析报告为准，若是因为乙方或乙方人员主要责任而发生的，乙方承诺遵守如下违约处理条款：</w:t>
      </w:r>
    </w:p>
    <w:p>
      <w:pPr>
        <w:spacing w:line="360" w:lineRule="auto"/>
        <w:ind w:firstLine="240" w:firstLineChars="100"/>
        <w:rPr>
          <w:rFonts w:ascii="宋体" w:hAnsi="宋体"/>
          <w:sz w:val="24"/>
        </w:rPr>
      </w:pPr>
      <w:r>
        <w:rPr>
          <w:rFonts w:hint="eastAsia" w:ascii="宋体" w:hAnsi="宋体"/>
          <w:sz w:val="24"/>
        </w:rPr>
        <w:t>①工亡事故：违约金额为 30-100万元/人。</w:t>
      </w:r>
    </w:p>
    <w:p>
      <w:pPr>
        <w:spacing w:line="360" w:lineRule="auto"/>
        <w:ind w:firstLine="240" w:firstLineChars="100"/>
        <w:rPr>
          <w:rFonts w:hint="eastAsia" w:ascii="宋体" w:hAnsi="宋体"/>
          <w:sz w:val="24"/>
        </w:rPr>
      </w:pPr>
      <w:r>
        <w:rPr>
          <w:rFonts w:hint="eastAsia" w:ascii="宋体" w:hAnsi="宋体"/>
          <w:sz w:val="24"/>
        </w:rPr>
        <w:t>②重伤事故：违约金额为 10-50 万元/人。</w:t>
      </w:r>
    </w:p>
    <w:p>
      <w:pPr>
        <w:spacing w:line="360" w:lineRule="auto"/>
        <w:ind w:firstLine="240" w:firstLineChars="100"/>
        <w:rPr>
          <w:rFonts w:ascii="宋体" w:hAnsi="宋体"/>
          <w:sz w:val="24"/>
        </w:rPr>
      </w:pPr>
      <w:r>
        <w:rPr>
          <w:rFonts w:hint="eastAsia" w:ascii="宋体" w:hAnsi="宋体"/>
          <w:sz w:val="24"/>
        </w:rPr>
        <w:t xml:space="preserve">③轻伤事故：违约金额为 </w:t>
      </w:r>
      <w:r>
        <w:rPr>
          <w:rFonts w:hint="eastAsia" w:ascii="宋体" w:hAnsi="宋体"/>
          <w:sz w:val="24"/>
          <w:lang w:val="en-US" w:eastAsia="zh-CN"/>
        </w:rPr>
        <w:t>10</w:t>
      </w:r>
      <w:r>
        <w:rPr>
          <w:rFonts w:hint="eastAsia" w:ascii="宋体" w:hAnsi="宋体"/>
          <w:sz w:val="24"/>
        </w:rPr>
        <w:t>000-</w:t>
      </w:r>
      <w:r>
        <w:rPr>
          <w:rFonts w:hint="eastAsia" w:ascii="宋体" w:hAnsi="宋体"/>
          <w:sz w:val="24"/>
          <w:lang w:val="en-US" w:eastAsia="zh-CN"/>
        </w:rPr>
        <w:t>5</w:t>
      </w:r>
      <w:r>
        <w:rPr>
          <w:rFonts w:hint="eastAsia" w:ascii="宋体" w:hAnsi="宋体"/>
          <w:sz w:val="24"/>
        </w:rPr>
        <w:t>0000 元/人。</w:t>
      </w:r>
    </w:p>
    <w:p>
      <w:pPr>
        <w:spacing w:line="360" w:lineRule="auto"/>
        <w:ind w:firstLine="240" w:firstLineChars="100"/>
        <w:rPr>
          <w:rFonts w:ascii="宋体" w:hAnsi="宋体"/>
          <w:sz w:val="24"/>
        </w:rPr>
      </w:pPr>
      <w:r>
        <w:rPr>
          <w:rFonts w:hint="eastAsia" w:ascii="宋体" w:hAnsi="宋体"/>
          <w:sz w:val="24"/>
        </w:rPr>
        <w:t>④违章相关违约金1000--5000元。</w:t>
      </w:r>
    </w:p>
    <w:p>
      <w:pPr>
        <w:spacing w:line="360" w:lineRule="auto"/>
        <w:ind w:firstLine="240" w:firstLineChars="100"/>
        <w:rPr>
          <w:rFonts w:hint="eastAsia" w:ascii="宋体" w:hAnsi="宋体"/>
          <w:sz w:val="24"/>
        </w:rPr>
      </w:pPr>
      <w:r>
        <w:rPr>
          <w:rFonts w:hint="eastAsia" w:ascii="宋体" w:hAnsi="宋体"/>
          <w:sz w:val="24"/>
        </w:rPr>
        <w:t>前款约定违约金范围的，甲方有权确定具体金额，乙方对此无异议。</w:t>
      </w:r>
    </w:p>
    <w:p>
      <w:pPr>
        <w:spacing w:line="360" w:lineRule="auto"/>
        <w:ind w:firstLine="480" w:firstLineChars="200"/>
        <w:rPr>
          <w:rFonts w:hint="eastAsia" w:ascii="宋体" w:hAnsi="宋体"/>
          <w:sz w:val="24"/>
        </w:rPr>
      </w:pPr>
      <w:r>
        <w:rPr>
          <w:rFonts w:hint="eastAsia" w:ascii="宋体" w:hAnsi="宋体"/>
          <w:sz w:val="24"/>
        </w:rPr>
        <w:t>9.4.4乙方因现场监管失控屡次出现特种（设备）作业人员未持有有效操作证；违</w:t>
      </w:r>
    </w:p>
    <w:p>
      <w:pPr>
        <w:spacing w:line="360" w:lineRule="auto"/>
        <w:rPr>
          <w:rFonts w:ascii="宋体" w:hAnsi="宋体"/>
          <w:sz w:val="24"/>
        </w:rPr>
      </w:pPr>
      <w:r>
        <w:rPr>
          <w:rFonts w:hint="eastAsia" w:ascii="宋体" w:hAnsi="宋体"/>
          <w:sz w:val="24"/>
        </w:rPr>
        <w:t>章指挥、强令他人进行违章冒险作业；酒后上岗及班中喝酒；高处作业不系安全带；约时送电和擅自合闸等严重违章行为的，甲方有权责令停工整顿3-7日，待整改完毕经复查合格后复工。</w:t>
      </w:r>
    </w:p>
    <w:p>
      <w:pPr>
        <w:spacing w:line="360" w:lineRule="auto"/>
        <w:ind w:firstLine="480" w:firstLineChars="200"/>
        <w:rPr>
          <w:rFonts w:ascii="宋体" w:hAnsi="宋体"/>
          <w:sz w:val="24"/>
        </w:rPr>
      </w:pPr>
      <w:r>
        <w:rPr>
          <w:rFonts w:hint="eastAsia" w:ascii="宋体" w:hAnsi="宋体"/>
          <w:sz w:val="24"/>
        </w:rPr>
        <w:t>9.4.5乙方必须为从事作业的职工进行体检并办理意外伤害险（保额不小于100万元/人），并为施工场地内的自有人员及第三者人员生命财产及施工机械设备办理保险，并支付保险费用。运至施工场地内用于本工程的材料和待安装设备，由乙方办理保险，并支付保险费用。</w:t>
      </w:r>
    </w:p>
    <w:p>
      <w:pPr>
        <w:spacing w:line="360" w:lineRule="auto"/>
        <w:ind w:firstLine="480" w:firstLineChars="200"/>
        <w:rPr>
          <w:rFonts w:ascii="宋体" w:hAnsi="宋体"/>
          <w:sz w:val="24"/>
        </w:rPr>
      </w:pPr>
      <w:r>
        <w:rPr>
          <w:rFonts w:hint="eastAsia" w:ascii="宋体" w:hAnsi="宋体"/>
          <w:sz w:val="24"/>
        </w:rPr>
        <w:t>9.4.6 乙方人员入厂标准</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从业人员除技术人员和管理人员外（技术人员和管理人员应 65 周岁以下，身体健康），进入生产区域的从业人员年龄限制为：男 60 周岁以下，女 55 周岁以下。严禁招用童工。</w:t>
      </w:r>
      <w:r>
        <w:rPr>
          <w:rFonts w:hint="eastAsia" w:ascii="宋体" w:hAnsi="宋体" w:cs="宋体"/>
          <w:sz w:val="24"/>
        </w:rPr>
        <w:t>所有人员入厂须遵守青特钢相关制度办理人脸识别，刷脸入厂。</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从业人员应提供县级或以上医院体检报告（半年内有效）、工伤保险或意外保险投保票据等。</w:t>
      </w:r>
    </w:p>
    <w:p>
      <w:pPr>
        <w:spacing w:line="360" w:lineRule="auto"/>
        <w:ind w:firstLine="480" w:firstLineChars="200"/>
        <w:rPr>
          <w:rFonts w:ascii="宋体" w:hAnsi="宋体"/>
          <w:sz w:val="24"/>
        </w:rPr>
      </w:pPr>
      <w:r>
        <w:rPr>
          <w:rFonts w:hint="eastAsia" w:ascii="宋体" w:hAnsi="宋体"/>
          <w:sz w:val="24"/>
        </w:rPr>
        <w:t>前款约定违约金范围的，甲方有权确定具体金额，乙方对此无异议。</w:t>
      </w:r>
    </w:p>
    <w:p>
      <w:pPr>
        <w:spacing w:line="360" w:lineRule="auto"/>
        <w:ind w:firstLine="480" w:firstLineChars="200"/>
        <w:rPr>
          <w:rFonts w:ascii="宋体" w:hAnsi="宋体"/>
          <w:sz w:val="24"/>
        </w:rPr>
      </w:pPr>
      <w:r>
        <w:rPr>
          <w:rFonts w:hint="eastAsia" w:ascii="宋体" w:hAnsi="宋体"/>
          <w:sz w:val="24"/>
        </w:rPr>
        <w:t>9.5如在项目施工过程中发生安全事故给甲方、乙方或任何第三方造成的人身伤害及财产损害的，由此产生的责任均由乙方承担，如因此给甲方造成损失（包括但不限于行政处罚及第三方索赔）的，乙方应据实赔偿。</w:t>
      </w:r>
    </w:p>
    <w:p>
      <w:pPr>
        <w:spacing w:line="360" w:lineRule="auto"/>
        <w:ind w:firstLine="480" w:firstLineChars="200"/>
        <w:rPr>
          <w:rFonts w:ascii="宋体" w:hAnsi="宋体"/>
          <w:sz w:val="24"/>
        </w:rPr>
      </w:pPr>
      <w:r>
        <w:rPr>
          <w:rFonts w:hint="eastAsia" w:ascii="宋体" w:hAnsi="宋体"/>
          <w:sz w:val="24"/>
        </w:rPr>
        <w:t>9.6乙方必须为从事作业的职工进行体检，体检合格的方可准予从事施工作业。</w:t>
      </w:r>
    </w:p>
    <w:p>
      <w:pPr>
        <w:spacing w:line="360" w:lineRule="auto"/>
        <w:ind w:firstLine="480" w:firstLineChars="200"/>
        <w:rPr>
          <w:rFonts w:ascii="宋体" w:hAnsi="宋体"/>
          <w:sz w:val="24"/>
        </w:rPr>
      </w:pPr>
      <w:r>
        <w:rPr>
          <w:rFonts w:hint="eastAsia" w:ascii="宋体" w:hAnsi="宋体"/>
          <w:sz w:val="24"/>
        </w:rPr>
        <w:t>10、能源介质计量及特殊说明：</w:t>
      </w:r>
    </w:p>
    <w:p>
      <w:pPr>
        <w:adjustRightInd w:val="0"/>
        <w:snapToGrid w:val="0"/>
        <w:spacing w:line="440" w:lineRule="exact"/>
        <w:ind w:firstLine="480" w:firstLineChars="200"/>
        <w:rPr>
          <w:rFonts w:ascii="宋体" w:hAnsi="宋体"/>
          <w:sz w:val="24"/>
        </w:rPr>
      </w:pPr>
      <w:r>
        <w:rPr>
          <w:rFonts w:hint="eastAsia" w:ascii="宋体" w:hAnsi="宋体"/>
          <w:sz w:val="24"/>
        </w:rPr>
        <w:t>材料、设备进场的卸运、看护：施工电、水费由甲方承担，乙方按照甲方指定地点自备相关设备、材料接驳（相关设备、材料费用由乙方承担）。</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、本工程承包范围内所有材料、设备进场后的卸运，卸运车辆的提供，材料、设备及卸运车辆的看护、保管由乙方负责，施工用吊机、登高平台等由乙方负责。</w:t>
      </w:r>
    </w:p>
    <w:p>
      <w:pPr>
        <w:spacing w:line="440" w:lineRule="exact"/>
        <w:ind w:firstLine="480" w:firstLineChars="200"/>
        <w:jc w:val="left"/>
        <w:rPr>
          <w:rFonts w:hint="eastAsia" w:ascii="宋体" w:hAnsi="宋体"/>
          <w:bCs/>
          <w:sz w:val="24"/>
        </w:rPr>
      </w:pPr>
      <w:bookmarkStart w:id="1" w:name="_Toc2395_WPSOffice_Level2"/>
      <w:bookmarkStart w:id="2" w:name="_Toc20530_WPSOffice_Level2"/>
      <w:r>
        <w:rPr>
          <w:rFonts w:hint="eastAsia" w:ascii="宋体" w:hAnsi="宋体"/>
          <w:bCs/>
          <w:sz w:val="24"/>
        </w:rPr>
        <w:t>乙方须保证大宗物资运输车辆达到国六及以上排放标准（含燃气）或新能源车辆，并建立台账。</w:t>
      </w:r>
    </w:p>
    <w:p>
      <w:pPr>
        <w:spacing w:line="440" w:lineRule="exact"/>
        <w:ind w:firstLine="480" w:firstLineChars="200"/>
        <w:jc w:val="left"/>
        <w:rPr>
          <w:rFonts w:hint="eastAsia" w:ascii="宋体" w:hAnsi="宋体"/>
          <w:bCs/>
          <w:sz w:val="24"/>
        </w:rPr>
      </w:pPr>
      <w:r>
        <w:rPr>
          <w:rFonts w:hint="eastAsia" w:ascii="宋体" w:hAnsi="宋体"/>
          <w:bCs/>
          <w:sz w:val="24"/>
        </w:rPr>
        <w:t>乙方须保证非道路移动机械和吸排车等特种运输机械全部达到国三及以上排放标准或使用新能源机械，且所使用的非道路移动机械全部完成编码登记，并建立台账。同</w:t>
      </w:r>
    </w:p>
    <w:p>
      <w:pPr>
        <w:spacing w:line="440" w:lineRule="exact"/>
        <w:jc w:val="left"/>
        <w:rPr>
          <w:rFonts w:ascii="宋体" w:hAnsi="宋体"/>
          <w:bCs/>
          <w:sz w:val="24"/>
        </w:rPr>
      </w:pPr>
      <w:r>
        <w:rPr>
          <w:rFonts w:hint="eastAsia" w:ascii="宋体" w:hAnsi="宋体"/>
          <w:bCs/>
          <w:sz w:val="24"/>
        </w:rPr>
        <w:t>时加强维护管理，确保机械不冒黑烟。</w:t>
      </w:r>
    </w:p>
    <w:p>
      <w:pPr>
        <w:spacing w:line="440" w:lineRule="exact"/>
        <w:jc w:val="left"/>
        <w:rPr>
          <w:rFonts w:ascii="宋体" w:hAnsi="宋体"/>
          <w:b/>
          <w:sz w:val="24"/>
        </w:rPr>
      </w:pPr>
      <w:r>
        <w:rPr>
          <w:rFonts w:hint="eastAsia" w:ascii="宋体" w:hAnsi="宋体"/>
          <w:b/>
          <w:sz w:val="24"/>
        </w:rPr>
        <w:t>五、工程质量与验收依据</w:t>
      </w:r>
      <w:bookmarkEnd w:id="1"/>
      <w:bookmarkEnd w:id="2"/>
    </w:p>
    <w:p>
      <w:pPr>
        <w:tabs>
          <w:tab w:val="left" w:pos="900"/>
        </w:tabs>
        <w:spacing w:line="360" w:lineRule="auto"/>
        <w:ind w:firstLine="480" w:firstLineChars="200"/>
        <w:rPr>
          <w:rFonts w:hint="eastAsia" w:ascii="宋体" w:hAnsi="宋体"/>
          <w:kern w:val="0"/>
          <w:sz w:val="24"/>
        </w:rPr>
      </w:pPr>
      <w:r>
        <w:rPr>
          <w:rFonts w:hint="eastAsia" w:ascii="宋体" w:hAnsi="宋体"/>
          <w:kern w:val="0"/>
          <w:sz w:val="24"/>
        </w:rPr>
        <w:t>1、质量要求：中标人必须严格按照设有关施工和验收规范进行施工，保证工程质量通过有关部门验收达到本工程的质量要求。所有不合格材料一律退出厂外，所发生的一切费用及损失由承包人自行负担，发包人概不负责。</w:t>
      </w:r>
    </w:p>
    <w:p>
      <w:pPr>
        <w:tabs>
          <w:tab w:val="left" w:pos="900"/>
        </w:tabs>
        <w:spacing w:line="360" w:lineRule="auto"/>
        <w:ind w:firstLine="480" w:firstLineChars="200"/>
        <w:rPr>
          <w:rFonts w:ascii="宋体" w:hAnsi="宋体"/>
          <w:kern w:val="0"/>
          <w:sz w:val="24"/>
        </w:rPr>
      </w:pPr>
      <w:r>
        <w:rPr>
          <w:rFonts w:hint="eastAsia" w:ascii="宋体" w:hAnsi="宋体"/>
          <w:kern w:val="0"/>
          <w:sz w:val="24"/>
        </w:rPr>
        <w:t>2、验收方法：验收应按</w:t>
      </w:r>
      <w:r>
        <w:rPr>
          <w:rFonts w:hint="eastAsia" w:ascii="宋体" w:hAnsi="宋体"/>
          <w:kern w:val="0"/>
          <w:sz w:val="24"/>
          <w:lang w:val="en-US" w:eastAsia="zh-CN"/>
        </w:rPr>
        <w:t>市政</w:t>
      </w:r>
      <w:r>
        <w:rPr>
          <w:rFonts w:hint="eastAsia" w:ascii="宋体" w:hAnsi="宋体"/>
          <w:kern w:val="0"/>
          <w:sz w:val="24"/>
        </w:rPr>
        <w:t>工程适用的规范或标准及其它相关的规范和标准执行。</w:t>
      </w:r>
    </w:p>
    <w:p>
      <w:pPr>
        <w:tabs>
          <w:tab w:val="left" w:pos="900"/>
        </w:tabs>
        <w:spacing w:line="360" w:lineRule="auto"/>
        <w:ind w:firstLine="480" w:firstLineChars="200"/>
        <w:rPr>
          <w:rFonts w:hint="eastAsia" w:ascii="宋体" w:hAnsi="宋体"/>
          <w:kern w:val="0"/>
          <w:sz w:val="24"/>
        </w:rPr>
      </w:pPr>
      <w:r>
        <w:rPr>
          <w:rFonts w:hint="eastAsia" w:ascii="宋体" w:hAnsi="宋体"/>
          <w:kern w:val="0"/>
          <w:sz w:val="24"/>
        </w:rPr>
        <w:t>本招标工程项目的材料、设备、施工必须达到现行中华人民共和国及省、市、行业的一切有关工程建设标准、法规、规范的要求，如标准及规范要求有出入则以较严格者为准。</w:t>
      </w:r>
    </w:p>
    <w:p>
      <w:pPr>
        <w:tabs>
          <w:tab w:val="left" w:pos="900"/>
        </w:tabs>
        <w:spacing w:line="360" w:lineRule="auto"/>
        <w:ind w:firstLine="480" w:firstLineChars="200"/>
        <w:rPr>
          <w:rFonts w:ascii="宋体" w:hAnsi="宋体"/>
          <w:position w:val="-2"/>
          <w:sz w:val="24"/>
        </w:rPr>
      </w:pPr>
      <w:r>
        <w:rPr>
          <w:rFonts w:hint="eastAsia" w:ascii="宋体" w:hAnsi="宋体"/>
          <w:kern w:val="0"/>
          <w:sz w:val="24"/>
        </w:rPr>
        <w:t>3、</w:t>
      </w:r>
      <w:r>
        <w:rPr>
          <w:rFonts w:hint="eastAsia" w:ascii="宋体" w:hAnsi="宋体"/>
          <w:kern w:val="0"/>
          <w:sz w:val="24"/>
          <w:lang w:val="en-US" w:eastAsia="zh-CN"/>
        </w:rPr>
        <w:t>质量保修期为壹年</w:t>
      </w:r>
      <w:r>
        <w:rPr>
          <w:rFonts w:hint="eastAsia" w:ascii="宋体" w:hAnsi="宋体"/>
          <w:kern w:val="0"/>
          <w:sz w:val="24"/>
        </w:rPr>
        <w:t>。</w:t>
      </w:r>
    </w:p>
    <w:p>
      <w:pPr>
        <w:spacing w:line="440" w:lineRule="exact"/>
        <w:jc w:val="left"/>
        <w:rPr>
          <w:rFonts w:ascii="宋体" w:hAnsi="宋体"/>
          <w:b/>
          <w:sz w:val="24"/>
        </w:rPr>
      </w:pPr>
      <w:r>
        <w:rPr>
          <w:rFonts w:hint="eastAsia" w:ascii="宋体" w:hAnsi="宋体"/>
          <w:b/>
          <w:sz w:val="24"/>
        </w:rPr>
        <w:t xml:space="preserve">六、 其它  </w:t>
      </w:r>
    </w:p>
    <w:p>
      <w:pPr>
        <w:spacing w:line="360" w:lineRule="auto"/>
        <w:ind w:firstLine="480" w:firstLineChars="200"/>
        <w:rPr>
          <w:rFonts w:ascii="宋体" w:hAnsi="宋体" w:cs="宋体"/>
          <w:position w:val="-2"/>
          <w:sz w:val="24"/>
        </w:rPr>
      </w:pPr>
      <w:r>
        <w:rPr>
          <w:rFonts w:hint="eastAsia" w:ascii="宋体" w:hAnsi="宋体" w:cs="宋体"/>
          <w:position w:val="-2"/>
          <w:sz w:val="24"/>
        </w:rPr>
        <w:t xml:space="preserve">1.本协议作为商务合同的一部分，与商务合同具有相同的法律效力。  </w:t>
      </w:r>
    </w:p>
    <w:p>
      <w:pPr>
        <w:spacing w:line="360" w:lineRule="auto"/>
        <w:ind w:firstLine="480" w:firstLineChars="200"/>
        <w:rPr>
          <w:rFonts w:ascii="宋体" w:hAnsi="宋体" w:cs="宋体"/>
          <w:position w:val="-2"/>
          <w:sz w:val="24"/>
        </w:rPr>
      </w:pPr>
      <w:r>
        <w:rPr>
          <w:rFonts w:hint="eastAsia" w:ascii="宋体" w:hAnsi="宋体" w:cs="宋体"/>
          <w:position w:val="-2"/>
          <w:sz w:val="24"/>
        </w:rPr>
        <w:t xml:space="preserve">2.上协议未尽事宜，双方本着友好合作的精神协商解决，如协商不成 则依据法律处理。  </w:t>
      </w:r>
    </w:p>
    <w:p>
      <w:pPr>
        <w:spacing w:line="360" w:lineRule="auto"/>
        <w:ind w:firstLine="480" w:firstLineChars="200"/>
        <w:rPr>
          <w:rFonts w:ascii="宋体" w:hAnsi="宋体"/>
          <w:sz w:val="24"/>
        </w:rPr>
      </w:pPr>
      <w:r>
        <w:rPr>
          <w:rFonts w:hint="eastAsia" w:ascii="宋体" w:hAnsi="宋体" w:cs="宋体"/>
          <w:position w:val="-2"/>
          <w:sz w:val="24"/>
        </w:rPr>
        <w:t>3.本协议一式三份，甲方两份、乙方一份。</w:t>
      </w:r>
      <w:r>
        <w:rPr>
          <w:rFonts w:hint="eastAsia" w:ascii="宋体" w:hAnsi="宋体"/>
          <w:sz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694"/>
        <w:gridCol w:w="97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84" w:type="dxa"/>
            <w:gridSpan w:val="2"/>
            <w:noWrap w:val="0"/>
            <w:vAlign w:val="top"/>
          </w:tcPr>
          <w:p>
            <w:pPr>
              <w:spacing w:line="192" w:lineRule="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甲方：青岛特殊钢铁有限公司</w:t>
            </w:r>
          </w:p>
        </w:tc>
        <w:tc>
          <w:tcPr>
            <w:tcW w:w="4786" w:type="dxa"/>
            <w:gridSpan w:val="2"/>
            <w:noWrap w:val="0"/>
            <w:vAlign w:val="top"/>
          </w:tcPr>
          <w:p>
            <w:pPr>
              <w:spacing w:line="192" w:lineRule="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975" w:type="dxa"/>
            <w:vMerge w:val="restart"/>
            <w:noWrap w:val="0"/>
            <w:vAlign w:val="center"/>
          </w:tcPr>
          <w:p>
            <w:pPr>
              <w:spacing w:line="192" w:lineRule="auto"/>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甲方代表</w:t>
            </w:r>
          </w:p>
        </w:tc>
        <w:tc>
          <w:tcPr>
            <w:tcW w:w="3809" w:type="dxa"/>
            <w:noWrap w:val="0"/>
            <w:vAlign w:val="center"/>
          </w:tcPr>
          <w:p>
            <w:pPr>
              <w:spacing w:line="192" w:lineRule="auto"/>
              <w:jc w:val="both"/>
              <w:rPr>
                <w:rFonts w:hint="default"/>
                <w:lang w:val="en-US" w:eastAsia="zh-CN"/>
              </w:rPr>
            </w:pPr>
            <w:r>
              <w:rPr>
                <w:rFonts w:hint="eastAsia" w:ascii="仿宋" w:hAnsi="仿宋" w:eastAsia="仿宋"/>
                <w:sz w:val="28"/>
                <w:szCs w:val="28"/>
                <w:vertAlign w:val="baseline"/>
                <w:lang w:val="en-US" w:eastAsia="zh-CN"/>
              </w:rPr>
              <w:t>焦化厂：</w:t>
            </w:r>
          </w:p>
        </w:tc>
        <w:tc>
          <w:tcPr>
            <w:tcW w:w="991" w:type="dxa"/>
            <w:vMerge w:val="restart"/>
            <w:noWrap w:val="0"/>
            <w:vAlign w:val="center"/>
          </w:tcPr>
          <w:p>
            <w:pPr>
              <w:spacing w:line="192" w:lineRule="auto"/>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乙方代表</w:t>
            </w:r>
          </w:p>
        </w:tc>
        <w:tc>
          <w:tcPr>
            <w:tcW w:w="3795" w:type="dxa"/>
            <w:vMerge w:val="restart"/>
            <w:noWrap w:val="0"/>
            <w:vAlign w:val="top"/>
          </w:tcPr>
          <w:p>
            <w:pPr>
              <w:spacing w:line="192" w:lineRule="auto"/>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975" w:type="dxa"/>
            <w:vMerge w:val="continue"/>
            <w:noWrap w:val="0"/>
            <w:vAlign w:val="top"/>
          </w:tcPr>
          <w:p>
            <w:pPr>
              <w:spacing w:line="192" w:lineRule="auto"/>
              <w:rPr>
                <w:rFonts w:hint="default" w:ascii="仿宋" w:hAnsi="仿宋" w:eastAsia="仿宋"/>
                <w:sz w:val="28"/>
                <w:szCs w:val="28"/>
                <w:vertAlign w:val="baseline"/>
                <w:lang w:val="en-US" w:eastAsia="zh-CN"/>
              </w:rPr>
            </w:pPr>
          </w:p>
        </w:tc>
        <w:tc>
          <w:tcPr>
            <w:tcW w:w="3809" w:type="dxa"/>
            <w:noWrap w:val="0"/>
            <w:vAlign w:val="center"/>
          </w:tcPr>
          <w:p>
            <w:pPr>
              <w:spacing w:line="192" w:lineRule="auto"/>
              <w:jc w:val="both"/>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装备部：</w:t>
            </w:r>
          </w:p>
        </w:tc>
        <w:tc>
          <w:tcPr>
            <w:tcW w:w="991" w:type="dxa"/>
            <w:vMerge w:val="continue"/>
            <w:noWrap w:val="0"/>
            <w:vAlign w:val="top"/>
          </w:tcPr>
          <w:p>
            <w:pPr>
              <w:spacing w:line="192" w:lineRule="auto"/>
              <w:rPr>
                <w:rFonts w:hint="default" w:ascii="仿宋" w:hAnsi="仿宋" w:eastAsia="仿宋"/>
                <w:sz w:val="28"/>
                <w:szCs w:val="28"/>
                <w:vertAlign w:val="baseline"/>
                <w:lang w:val="en-US" w:eastAsia="zh-CN"/>
              </w:rPr>
            </w:pPr>
          </w:p>
        </w:tc>
        <w:tc>
          <w:tcPr>
            <w:tcW w:w="3795" w:type="dxa"/>
            <w:vMerge w:val="continue"/>
            <w:noWrap w:val="0"/>
            <w:vAlign w:val="top"/>
          </w:tcPr>
          <w:p>
            <w:pPr>
              <w:spacing w:line="192" w:lineRule="auto"/>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84" w:type="dxa"/>
            <w:gridSpan w:val="2"/>
            <w:noWrap w:val="0"/>
            <w:vAlign w:val="top"/>
          </w:tcPr>
          <w:p>
            <w:pPr>
              <w:spacing w:line="192" w:lineRule="auto"/>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日期：</w:t>
            </w:r>
          </w:p>
        </w:tc>
        <w:tc>
          <w:tcPr>
            <w:tcW w:w="4786" w:type="dxa"/>
            <w:gridSpan w:val="2"/>
            <w:noWrap w:val="0"/>
            <w:vAlign w:val="top"/>
          </w:tcPr>
          <w:p>
            <w:pPr>
              <w:spacing w:line="192" w:lineRule="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日期：</w:t>
            </w:r>
          </w:p>
        </w:tc>
      </w:tr>
    </w:tbl>
    <w:p>
      <w:pPr>
        <w:spacing w:line="360" w:lineRule="auto"/>
      </w:pPr>
    </w:p>
    <w:sectPr>
      <w:headerReference r:id="rId3" w:type="default"/>
      <w:footerReference r:id="rId4" w:type="default"/>
      <w:footerReference r:id="rId5" w:type="even"/>
      <w:pgSz w:w="11906" w:h="16838"/>
      <w:pgMar w:top="1418" w:right="1418" w:bottom="1418" w:left="1418" w:header="284"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686" w:y="22"/>
      <w:rPr>
        <w:rStyle w:val="14"/>
      </w:rPr>
    </w:pPr>
    <w:r>
      <w:fldChar w:fldCharType="begin"/>
    </w:r>
    <w:r>
      <w:rPr>
        <w:rStyle w:val="14"/>
      </w:rPr>
      <w:instrText xml:space="preserve">PAGE  </w:instrText>
    </w:r>
    <w:r>
      <w:fldChar w:fldCharType="separate"/>
    </w:r>
    <w:r>
      <w:rPr>
        <w:rStyle w:val="14"/>
      </w:rPr>
      <w:t>- 4 -</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6"/>
      </w:pBdr>
      <w:jc w:val="both"/>
    </w:pPr>
    <w:r>
      <w:drawing>
        <wp:inline distT="0" distB="0" distL="114300" distR="114300">
          <wp:extent cx="1327150" cy="419735"/>
          <wp:effectExtent l="0" t="0" r="635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7150" cy="419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BB1B3"/>
    <w:multiLevelType w:val="singleLevel"/>
    <w:tmpl w:val="95DBB1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GZjMTIxYmRiN2ExNTViYWE4MDZiZjE3OGQ1YTYifQ=="/>
  </w:docVars>
  <w:rsids>
    <w:rsidRoot w:val="58547A1B"/>
    <w:rsid w:val="0009160A"/>
    <w:rsid w:val="0017380C"/>
    <w:rsid w:val="00185360"/>
    <w:rsid w:val="001F4A8A"/>
    <w:rsid w:val="002356E7"/>
    <w:rsid w:val="002619F4"/>
    <w:rsid w:val="00290A93"/>
    <w:rsid w:val="003141B1"/>
    <w:rsid w:val="00327289"/>
    <w:rsid w:val="00472D82"/>
    <w:rsid w:val="00485CC4"/>
    <w:rsid w:val="004D01E2"/>
    <w:rsid w:val="005C2894"/>
    <w:rsid w:val="005E7B0A"/>
    <w:rsid w:val="00632854"/>
    <w:rsid w:val="006D7D67"/>
    <w:rsid w:val="006E5792"/>
    <w:rsid w:val="00782124"/>
    <w:rsid w:val="0085772F"/>
    <w:rsid w:val="00930F2A"/>
    <w:rsid w:val="0095513A"/>
    <w:rsid w:val="00957A51"/>
    <w:rsid w:val="00964269"/>
    <w:rsid w:val="009D6023"/>
    <w:rsid w:val="00AB2E90"/>
    <w:rsid w:val="00B05477"/>
    <w:rsid w:val="00B73CE3"/>
    <w:rsid w:val="00BD12B0"/>
    <w:rsid w:val="00CA74FA"/>
    <w:rsid w:val="00CC1E99"/>
    <w:rsid w:val="00CC20FD"/>
    <w:rsid w:val="00DE5D07"/>
    <w:rsid w:val="00DF4780"/>
    <w:rsid w:val="00E13ADC"/>
    <w:rsid w:val="00EE2D81"/>
    <w:rsid w:val="00EF014F"/>
    <w:rsid w:val="00FB127F"/>
    <w:rsid w:val="00FE1ECB"/>
    <w:rsid w:val="012E7991"/>
    <w:rsid w:val="01515F67"/>
    <w:rsid w:val="01C5380A"/>
    <w:rsid w:val="027A76EE"/>
    <w:rsid w:val="02B17E9F"/>
    <w:rsid w:val="03094EF7"/>
    <w:rsid w:val="03672FD4"/>
    <w:rsid w:val="041173FA"/>
    <w:rsid w:val="04C3395C"/>
    <w:rsid w:val="07FD7BDD"/>
    <w:rsid w:val="07FF6E75"/>
    <w:rsid w:val="08DB5172"/>
    <w:rsid w:val="08F70568"/>
    <w:rsid w:val="09132973"/>
    <w:rsid w:val="09465AD6"/>
    <w:rsid w:val="094B635A"/>
    <w:rsid w:val="0A7F6940"/>
    <w:rsid w:val="0C701239"/>
    <w:rsid w:val="0CB04A9C"/>
    <w:rsid w:val="0D541E51"/>
    <w:rsid w:val="0D9B0105"/>
    <w:rsid w:val="0DFA5B87"/>
    <w:rsid w:val="0DFE2B13"/>
    <w:rsid w:val="0E5B2F25"/>
    <w:rsid w:val="0E794CFD"/>
    <w:rsid w:val="0E7963A5"/>
    <w:rsid w:val="0FA22032"/>
    <w:rsid w:val="0FF15E8D"/>
    <w:rsid w:val="106B4B1A"/>
    <w:rsid w:val="115B28EE"/>
    <w:rsid w:val="11BD3F44"/>
    <w:rsid w:val="11D912D1"/>
    <w:rsid w:val="14523B50"/>
    <w:rsid w:val="155B7709"/>
    <w:rsid w:val="15CA625F"/>
    <w:rsid w:val="167E7E69"/>
    <w:rsid w:val="16B1292B"/>
    <w:rsid w:val="16DF08D3"/>
    <w:rsid w:val="170770D9"/>
    <w:rsid w:val="1789647F"/>
    <w:rsid w:val="17B53462"/>
    <w:rsid w:val="17EF127B"/>
    <w:rsid w:val="184A6732"/>
    <w:rsid w:val="184B52D7"/>
    <w:rsid w:val="18A550C1"/>
    <w:rsid w:val="18D57C2C"/>
    <w:rsid w:val="193C20C0"/>
    <w:rsid w:val="1A6651A6"/>
    <w:rsid w:val="1AFE3763"/>
    <w:rsid w:val="1B3C0C25"/>
    <w:rsid w:val="1B734F11"/>
    <w:rsid w:val="1B873A3C"/>
    <w:rsid w:val="1BE80B5D"/>
    <w:rsid w:val="1BF76527"/>
    <w:rsid w:val="1C0C4DF3"/>
    <w:rsid w:val="1D295B40"/>
    <w:rsid w:val="1DAA4ED3"/>
    <w:rsid w:val="1DAF1DF3"/>
    <w:rsid w:val="1E664B29"/>
    <w:rsid w:val="1F082F1C"/>
    <w:rsid w:val="1F5617E7"/>
    <w:rsid w:val="1FA73130"/>
    <w:rsid w:val="20E00CF9"/>
    <w:rsid w:val="213E69FC"/>
    <w:rsid w:val="227B0BEC"/>
    <w:rsid w:val="227C4964"/>
    <w:rsid w:val="238B7908"/>
    <w:rsid w:val="24790D39"/>
    <w:rsid w:val="251F18E3"/>
    <w:rsid w:val="2573204F"/>
    <w:rsid w:val="258C6301"/>
    <w:rsid w:val="25F670AF"/>
    <w:rsid w:val="25FA2770"/>
    <w:rsid w:val="288553F1"/>
    <w:rsid w:val="28CF7CF6"/>
    <w:rsid w:val="28D91766"/>
    <w:rsid w:val="28F17DD2"/>
    <w:rsid w:val="292419CD"/>
    <w:rsid w:val="297704F6"/>
    <w:rsid w:val="2A4D3F70"/>
    <w:rsid w:val="2AC564F6"/>
    <w:rsid w:val="2B073182"/>
    <w:rsid w:val="2B342280"/>
    <w:rsid w:val="2BCB38A3"/>
    <w:rsid w:val="2BE56D07"/>
    <w:rsid w:val="2BE705D6"/>
    <w:rsid w:val="2D0068BE"/>
    <w:rsid w:val="2D2711E4"/>
    <w:rsid w:val="2DC078F3"/>
    <w:rsid w:val="2E0805BA"/>
    <w:rsid w:val="2EAB4607"/>
    <w:rsid w:val="2EE54406"/>
    <w:rsid w:val="302A5AB8"/>
    <w:rsid w:val="314E3E43"/>
    <w:rsid w:val="31D63D88"/>
    <w:rsid w:val="32A63A63"/>
    <w:rsid w:val="335F1546"/>
    <w:rsid w:val="35682337"/>
    <w:rsid w:val="35A64135"/>
    <w:rsid w:val="367D2F9D"/>
    <w:rsid w:val="371A5A32"/>
    <w:rsid w:val="38E659D8"/>
    <w:rsid w:val="39F17410"/>
    <w:rsid w:val="3A654365"/>
    <w:rsid w:val="3AA3791A"/>
    <w:rsid w:val="3D184BC3"/>
    <w:rsid w:val="3D9E2022"/>
    <w:rsid w:val="3E076B93"/>
    <w:rsid w:val="3EAD37ED"/>
    <w:rsid w:val="413F333F"/>
    <w:rsid w:val="42340E3B"/>
    <w:rsid w:val="436239D7"/>
    <w:rsid w:val="4544054A"/>
    <w:rsid w:val="459F13DC"/>
    <w:rsid w:val="45C5463E"/>
    <w:rsid w:val="45D17124"/>
    <w:rsid w:val="46274D44"/>
    <w:rsid w:val="466A28ED"/>
    <w:rsid w:val="4682276B"/>
    <w:rsid w:val="469912BA"/>
    <w:rsid w:val="473718BB"/>
    <w:rsid w:val="47417951"/>
    <w:rsid w:val="47833F1C"/>
    <w:rsid w:val="47885B2C"/>
    <w:rsid w:val="480A4B15"/>
    <w:rsid w:val="483D231C"/>
    <w:rsid w:val="48480D33"/>
    <w:rsid w:val="487545FD"/>
    <w:rsid w:val="49091934"/>
    <w:rsid w:val="49163903"/>
    <w:rsid w:val="499A5522"/>
    <w:rsid w:val="49F548C1"/>
    <w:rsid w:val="4A9B275A"/>
    <w:rsid w:val="4B7D30EA"/>
    <w:rsid w:val="4BAB3A41"/>
    <w:rsid w:val="4BBF056C"/>
    <w:rsid w:val="4D2D6EA4"/>
    <w:rsid w:val="4D441277"/>
    <w:rsid w:val="4D6F2371"/>
    <w:rsid w:val="4DB7385C"/>
    <w:rsid w:val="4F7F6983"/>
    <w:rsid w:val="504601DC"/>
    <w:rsid w:val="5057056E"/>
    <w:rsid w:val="50BB38BE"/>
    <w:rsid w:val="511261D9"/>
    <w:rsid w:val="511C1B91"/>
    <w:rsid w:val="51452194"/>
    <w:rsid w:val="51E4258F"/>
    <w:rsid w:val="52497B10"/>
    <w:rsid w:val="52586415"/>
    <w:rsid w:val="52990A97"/>
    <w:rsid w:val="5314011E"/>
    <w:rsid w:val="53767137"/>
    <w:rsid w:val="54334CBB"/>
    <w:rsid w:val="550713B6"/>
    <w:rsid w:val="55BD5F4E"/>
    <w:rsid w:val="562E2602"/>
    <w:rsid w:val="564A7FE5"/>
    <w:rsid w:val="56C1682A"/>
    <w:rsid w:val="58352B49"/>
    <w:rsid w:val="58420FDA"/>
    <w:rsid w:val="58547A1B"/>
    <w:rsid w:val="586760F2"/>
    <w:rsid w:val="58953D89"/>
    <w:rsid w:val="58CA114F"/>
    <w:rsid w:val="59693983"/>
    <w:rsid w:val="59804E56"/>
    <w:rsid w:val="59B358B2"/>
    <w:rsid w:val="59D14497"/>
    <w:rsid w:val="59FD4EC9"/>
    <w:rsid w:val="5A3B24C9"/>
    <w:rsid w:val="5A80100C"/>
    <w:rsid w:val="5ABA6AD1"/>
    <w:rsid w:val="5B723A90"/>
    <w:rsid w:val="5BB171CC"/>
    <w:rsid w:val="5BB66640"/>
    <w:rsid w:val="5C2D4005"/>
    <w:rsid w:val="5C59252D"/>
    <w:rsid w:val="5C9A24BA"/>
    <w:rsid w:val="5CB212C2"/>
    <w:rsid w:val="5CBD1826"/>
    <w:rsid w:val="5D4966D0"/>
    <w:rsid w:val="5E0A2278"/>
    <w:rsid w:val="5E607641"/>
    <w:rsid w:val="600A6F80"/>
    <w:rsid w:val="608C52C3"/>
    <w:rsid w:val="60F84D9D"/>
    <w:rsid w:val="61295016"/>
    <w:rsid w:val="61910CCD"/>
    <w:rsid w:val="61B85301"/>
    <w:rsid w:val="62454E05"/>
    <w:rsid w:val="63192DBF"/>
    <w:rsid w:val="633B23F5"/>
    <w:rsid w:val="63CD0D1E"/>
    <w:rsid w:val="65060F5C"/>
    <w:rsid w:val="65450F00"/>
    <w:rsid w:val="65B43854"/>
    <w:rsid w:val="65DA09F9"/>
    <w:rsid w:val="669242F5"/>
    <w:rsid w:val="680B22F4"/>
    <w:rsid w:val="68BE7511"/>
    <w:rsid w:val="69637D72"/>
    <w:rsid w:val="69D446AB"/>
    <w:rsid w:val="69FB78F4"/>
    <w:rsid w:val="6A007850"/>
    <w:rsid w:val="6A87385D"/>
    <w:rsid w:val="6AA92FB7"/>
    <w:rsid w:val="6B1009D9"/>
    <w:rsid w:val="6B97585E"/>
    <w:rsid w:val="6BEC5C84"/>
    <w:rsid w:val="6BF934BF"/>
    <w:rsid w:val="6C304A36"/>
    <w:rsid w:val="6C74555D"/>
    <w:rsid w:val="6CF36A59"/>
    <w:rsid w:val="6CFB2B38"/>
    <w:rsid w:val="6D0E70B5"/>
    <w:rsid w:val="6D4949AF"/>
    <w:rsid w:val="6DF1318C"/>
    <w:rsid w:val="6E216216"/>
    <w:rsid w:val="6E9059D3"/>
    <w:rsid w:val="6EA243AB"/>
    <w:rsid w:val="6FF634A9"/>
    <w:rsid w:val="705C79CF"/>
    <w:rsid w:val="70755BB4"/>
    <w:rsid w:val="70A7087F"/>
    <w:rsid w:val="71DC2247"/>
    <w:rsid w:val="71F9465D"/>
    <w:rsid w:val="72D02368"/>
    <w:rsid w:val="730178BE"/>
    <w:rsid w:val="7453787F"/>
    <w:rsid w:val="745874B1"/>
    <w:rsid w:val="756E770A"/>
    <w:rsid w:val="76395522"/>
    <w:rsid w:val="768E1E11"/>
    <w:rsid w:val="771E7D85"/>
    <w:rsid w:val="78727511"/>
    <w:rsid w:val="78B40696"/>
    <w:rsid w:val="78FE180D"/>
    <w:rsid w:val="7AC74765"/>
    <w:rsid w:val="7AD01BCE"/>
    <w:rsid w:val="7B16158D"/>
    <w:rsid w:val="7B5240AE"/>
    <w:rsid w:val="7CA66A15"/>
    <w:rsid w:val="7F61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pPr>
  </w:style>
  <w:style w:type="paragraph" w:styleId="4">
    <w:name w:val="Plain Text"/>
    <w:basedOn w:val="1"/>
    <w:qFormat/>
    <w:uiPriority w:val="0"/>
    <w:rPr>
      <w:rFonts w:ascii="宋体" w:hAnsi="Courier New"/>
    </w:rPr>
  </w:style>
  <w:style w:type="paragraph" w:styleId="5">
    <w:name w:val="Balloon Text"/>
    <w:basedOn w:val="1"/>
    <w:link w:val="20"/>
    <w:qFormat/>
    <w:uiPriority w:val="0"/>
    <w:rPr>
      <w:sz w:val="18"/>
      <w:szCs w:val="18"/>
    </w:rPr>
  </w:style>
  <w:style w:type="paragraph" w:styleId="6">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Subtitle"/>
    <w:basedOn w:val="1"/>
    <w:next w:val="1"/>
    <w:link w:val="21"/>
    <w:qFormat/>
    <w:uiPriority w:val="0"/>
    <w:pPr>
      <w:spacing w:before="240" w:after="60" w:line="312" w:lineRule="auto"/>
      <w:jc w:val="center"/>
      <w:outlineLvl w:val="1"/>
    </w:pPr>
    <w:rPr>
      <w:rFonts w:ascii="Cambria" w:hAnsi="Cambria"/>
      <w:b/>
      <w:bCs/>
      <w:kern w:val="28"/>
      <w:sz w:val="32"/>
      <w:szCs w:val="32"/>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spacing w:before="100" w:beforeAutospacing="1" w:after="100" w:afterAutospacing="1"/>
      <w:jc w:val="left"/>
    </w:pPr>
    <w:rPr>
      <w:rFonts w:ascii="Times New Roman" w:hAnsi="Times New Roman"/>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basedOn w:val="13"/>
    <w:semiHidden/>
    <w:unhideWhenUsed/>
    <w:qFormat/>
    <w:uiPriority w:val="99"/>
    <w:rPr>
      <w:color w:val="003399"/>
      <w:u w:val="none"/>
    </w:rPr>
  </w:style>
  <w:style w:type="paragraph" w:customStyle="1" w:styleId="16">
    <w:name w:val="表格文字"/>
    <w:basedOn w:val="1"/>
    <w:qFormat/>
    <w:uiPriority w:val="0"/>
    <w:pPr>
      <w:adjustRightInd w:val="0"/>
      <w:spacing w:line="420" w:lineRule="atLeast"/>
      <w:jc w:val="left"/>
      <w:textAlignment w:val="baseline"/>
    </w:pPr>
    <w:rPr>
      <w:kern w:val="0"/>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9">
    <w:name w:val="List Paragraph"/>
    <w:basedOn w:val="1"/>
    <w:qFormat/>
    <w:uiPriority w:val="34"/>
    <w:pPr>
      <w:spacing w:line="360" w:lineRule="auto"/>
      <w:ind w:firstLine="420" w:firstLineChars="200"/>
    </w:pPr>
    <w:rPr>
      <w:szCs w:val="22"/>
    </w:rPr>
  </w:style>
  <w:style w:type="character" w:customStyle="1" w:styleId="20">
    <w:name w:val="批注框文本 字符"/>
    <w:basedOn w:val="13"/>
    <w:link w:val="5"/>
    <w:qFormat/>
    <w:uiPriority w:val="0"/>
    <w:rPr>
      <w:rFonts w:ascii="Calibri" w:hAnsi="Calibri"/>
      <w:kern w:val="2"/>
      <w:sz w:val="18"/>
      <w:szCs w:val="18"/>
    </w:rPr>
  </w:style>
  <w:style w:type="character" w:customStyle="1" w:styleId="21">
    <w:name w:val="副标题 字符1"/>
    <w:link w:val="8"/>
    <w:qFormat/>
    <w:uiPriority w:val="0"/>
    <w:rPr>
      <w:rFonts w:ascii="Cambria" w:hAnsi="Cambria"/>
      <w:b/>
      <w:bCs/>
      <w:kern w:val="28"/>
      <w:sz w:val="32"/>
      <w:szCs w:val="32"/>
    </w:rPr>
  </w:style>
  <w:style w:type="character" w:customStyle="1" w:styleId="22">
    <w:name w:val="副标题 字符"/>
    <w:basedOn w:val="13"/>
    <w:qFormat/>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5142</Words>
  <Characters>5340</Characters>
  <Lines>45</Lines>
  <Paragraphs>12</Paragraphs>
  <TotalTime>3</TotalTime>
  <ScaleCrop>false</ScaleCrop>
  <LinksUpToDate>false</LinksUpToDate>
  <CharactersWithSpaces>5451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2019-10-23T02:24:00Z</dcterms:created>
  <dc:creator>歌舒</dc:creator>
  <cp:lastModifiedBy>peace</cp:lastModifiedBy>
  <cp:lastPrinted>2023-11-27T04:48:00Z</cp:lastPrinted>
  <dcterms:modified xsi:type="dcterms:W3CDTF">2023-12-04T07:44:53Z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D0B87CA601424C77AC73621CC9A27F36</vt:lpwstr>
  </property>
</Properties>
</file>